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E7DCB" w14:textId="05653DD1" w:rsidR="009C302F" w:rsidRPr="007A2BEC" w:rsidRDefault="009C302F" w:rsidP="001B3E82">
      <w:pPr>
        <w:widowControl/>
        <w:autoSpaceDE/>
        <w:autoSpaceDN/>
        <w:rPr>
          <w:rFonts w:asciiTheme="minorHAnsi" w:eastAsia="Times New Roman" w:hAnsiTheme="minorHAnsi" w:cstheme="minorHAnsi"/>
          <w:color w:val="000000"/>
          <w:u w:val="single"/>
        </w:rPr>
      </w:pPr>
      <w:r w:rsidRPr="007A2BEC">
        <w:rPr>
          <w:rFonts w:asciiTheme="minorHAnsi" w:eastAsia="Times New Roman" w:hAnsiTheme="minorHAnsi" w:cstheme="minorHAnsi"/>
          <w:color w:val="000000"/>
          <w:u w:val="single"/>
        </w:rPr>
        <w:t xml:space="preserve">The </w:t>
      </w:r>
      <w:r w:rsidR="00AB23EE">
        <w:rPr>
          <w:rFonts w:asciiTheme="minorHAnsi" w:eastAsia="Times New Roman" w:hAnsiTheme="minorHAnsi" w:cstheme="minorHAnsi"/>
          <w:color w:val="000000"/>
          <w:u w:val="single"/>
        </w:rPr>
        <w:t xml:space="preserve">2019-2020 </w:t>
      </w:r>
      <w:bookmarkStart w:id="0" w:name="_GoBack"/>
      <w:bookmarkEnd w:id="0"/>
      <w:r w:rsidRPr="007A2BEC">
        <w:rPr>
          <w:rFonts w:asciiTheme="minorHAnsi" w:eastAsia="Times New Roman" w:hAnsiTheme="minorHAnsi" w:cstheme="minorHAnsi"/>
          <w:color w:val="000000"/>
          <w:u w:val="single"/>
        </w:rPr>
        <w:t>Legislative Session Heats Up</w:t>
      </w:r>
    </w:p>
    <w:p w14:paraId="224C313E" w14:textId="77777777" w:rsidR="009C302F" w:rsidRDefault="009C302F" w:rsidP="001B3E82">
      <w:pPr>
        <w:widowControl/>
        <w:autoSpaceDE/>
        <w:autoSpaceDN/>
        <w:rPr>
          <w:rFonts w:asciiTheme="minorHAnsi" w:eastAsia="Times New Roman" w:hAnsiTheme="minorHAnsi" w:cstheme="minorHAnsi"/>
          <w:color w:val="000000"/>
        </w:rPr>
      </w:pPr>
    </w:p>
    <w:p w14:paraId="438054C0" w14:textId="3C1866E3" w:rsidR="00676832" w:rsidRDefault="00676832" w:rsidP="001B3E82">
      <w:pPr>
        <w:widowControl/>
        <w:autoSpaceDE/>
        <w:autoSpaceDN/>
        <w:rPr>
          <w:rFonts w:asciiTheme="minorHAnsi" w:eastAsia="Times New Roman" w:hAnsiTheme="minorHAnsi" w:cstheme="minorHAnsi"/>
          <w:color w:val="000000"/>
        </w:rPr>
      </w:pPr>
      <w:r>
        <w:rPr>
          <w:rFonts w:asciiTheme="minorHAnsi" w:eastAsia="Times New Roman" w:hAnsiTheme="minorHAnsi" w:cstheme="minorHAnsi"/>
          <w:color w:val="000000"/>
        </w:rPr>
        <w:t>COVID-19 and the resulting Stay in Place Order has impacted the way many things work, and the way a bill becomes a law is one of them!</w:t>
      </w:r>
      <w:r w:rsidR="00D8720C">
        <w:rPr>
          <w:rFonts w:asciiTheme="minorHAnsi" w:eastAsia="Times New Roman" w:hAnsiTheme="minorHAnsi" w:cstheme="minorHAnsi"/>
          <w:color w:val="000000"/>
        </w:rPr>
        <w:t xml:space="preserve"> After weeks away from Sacramento, legislators returned this week </w:t>
      </w:r>
      <w:r>
        <w:rPr>
          <w:rFonts w:asciiTheme="minorHAnsi" w:eastAsia="Times New Roman" w:hAnsiTheme="minorHAnsi" w:cstheme="minorHAnsi"/>
          <w:color w:val="000000"/>
        </w:rPr>
        <w:t>to hold</w:t>
      </w:r>
      <w:r w:rsidR="00D8720C">
        <w:rPr>
          <w:rFonts w:asciiTheme="minorHAnsi" w:eastAsia="Times New Roman" w:hAnsiTheme="minorHAnsi" w:cstheme="minorHAnsi"/>
          <w:color w:val="000000"/>
        </w:rPr>
        <w:t xml:space="preserve"> the first policy committee hearings. Due to the delays</w:t>
      </w:r>
      <w:r>
        <w:rPr>
          <w:rFonts w:asciiTheme="minorHAnsi" w:eastAsia="Times New Roman" w:hAnsiTheme="minorHAnsi" w:cstheme="minorHAnsi"/>
          <w:color w:val="000000"/>
        </w:rPr>
        <w:t xml:space="preserve"> in the legislative calendar</w:t>
      </w:r>
      <w:r w:rsidR="00D8720C">
        <w:rPr>
          <w:rFonts w:asciiTheme="minorHAnsi" w:eastAsia="Times New Roman" w:hAnsiTheme="minorHAnsi" w:cstheme="minorHAnsi"/>
          <w:color w:val="000000"/>
        </w:rPr>
        <w:t xml:space="preserve">, the </w:t>
      </w:r>
      <w:r w:rsidR="007F1049">
        <w:rPr>
          <w:rFonts w:asciiTheme="minorHAnsi" w:eastAsia="Times New Roman" w:hAnsiTheme="minorHAnsi" w:cstheme="minorHAnsi"/>
          <w:color w:val="000000"/>
        </w:rPr>
        <w:t xml:space="preserve">plan is to move bills through </w:t>
      </w:r>
      <w:r w:rsidR="009C302F">
        <w:rPr>
          <w:rFonts w:asciiTheme="minorHAnsi" w:eastAsia="Times New Roman" w:hAnsiTheme="minorHAnsi" w:cstheme="minorHAnsi"/>
          <w:color w:val="000000"/>
        </w:rPr>
        <w:t xml:space="preserve">committee </w:t>
      </w:r>
      <w:r w:rsidR="007F1049">
        <w:rPr>
          <w:rFonts w:asciiTheme="minorHAnsi" w:eastAsia="Times New Roman" w:hAnsiTheme="minorHAnsi" w:cstheme="minorHAnsi"/>
          <w:color w:val="000000"/>
        </w:rPr>
        <w:t>over a three-week period with the goal of hearing every bill prior to a one-week summer recess in July.</w:t>
      </w:r>
      <w:r>
        <w:rPr>
          <w:rFonts w:asciiTheme="minorHAnsi" w:eastAsia="Times New Roman" w:hAnsiTheme="minorHAnsi" w:cstheme="minorHAnsi"/>
          <w:color w:val="000000"/>
        </w:rPr>
        <w:t xml:space="preserve"> </w:t>
      </w:r>
      <w:r w:rsidR="009C302F">
        <w:rPr>
          <w:rFonts w:asciiTheme="minorHAnsi" w:eastAsia="Times New Roman" w:hAnsiTheme="minorHAnsi" w:cstheme="minorHAnsi"/>
          <w:color w:val="000000"/>
        </w:rPr>
        <w:t>When</w:t>
      </w:r>
      <w:r>
        <w:rPr>
          <w:rFonts w:asciiTheme="minorHAnsi" w:eastAsia="Times New Roman" w:hAnsiTheme="minorHAnsi" w:cstheme="minorHAnsi"/>
          <w:color w:val="000000"/>
        </w:rPr>
        <w:t xml:space="preserve"> the Legislature </w:t>
      </w:r>
      <w:r w:rsidR="009C302F">
        <w:rPr>
          <w:rFonts w:asciiTheme="minorHAnsi" w:eastAsia="Times New Roman" w:hAnsiTheme="minorHAnsi" w:cstheme="minorHAnsi"/>
          <w:color w:val="000000"/>
        </w:rPr>
        <w:t xml:space="preserve">returns from recess, it </w:t>
      </w:r>
      <w:r>
        <w:rPr>
          <w:rFonts w:asciiTheme="minorHAnsi" w:eastAsia="Times New Roman" w:hAnsiTheme="minorHAnsi" w:cstheme="minorHAnsi"/>
          <w:color w:val="000000"/>
        </w:rPr>
        <w:t xml:space="preserve">will be back on schedule. </w:t>
      </w:r>
    </w:p>
    <w:p w14:paraId="234E63EE" w14:textId="77777777" w:rsidR="00676832" w:rsidRDefault="00676832" w:rsidP="001B3E82">
      <w:pPr>
        <w:widowControl/>
        <w:autoSpaceDE/>
        <w:autoSpaceDN/>
        <w:rPr>
          <w:rFonts w:asciiTheme="minorHAnsi" w:eastAsia="Times New Roman" w:hAnsiTheme="minorHAnsi" w:cstheme="minorHAnsi"/>
          <w:color w:val="000000"/>
        </w:rPr>
      </w:pPr>
    </w:p>
    <w:p w14:paraId="7D56B1F6" w14:textId="3E662540" w:rsidR="00D8720C" w:rsidRDefault="00676832" w:rsidP="001B3E82">
      <w:pPr>
        <w:widowControl/>
        <w:autoSpaceDE/>
        <w:autoSpaceDN/>
        <w:rPr>
          <w:rFonts w:asciiTheme="minorHAnsi" w:eastAsia="Times New Roman" w:hAnsiTheme="minorHAnsi" w:cstheme="minorHAnsi"/>
          <w:color w:val="000000"/>
        </w:rPr>
      </w:pPr>
      <w:r>
        <w:rPr>
          <w:rFonts w:asciiTheme="minorHAnsi" w:eastAsia="Times New Roman" w:hAnsiTheme="minorHAnsi" w:cstheme="minorHAnsi"/>
          <w:color w:val="000000"/>
        </w:rPr>
        <w:t xml:space="preserve">To respond to the backlog of bills, legislative leaders have taken steps to significantly reduce the number of bills that will be heard. And to respond to the budget crisis the State is facing, it is unlikely that bills with a significant budgetary impact will move forward this year. The one thing we </w:t>
      </w:r>
      <w:r w:rsidR="009C302F">
        <w:rPr>
          <w:rFonts w:asciiTheme="minorHAnsi" w:eastAsia="Times New Roman" w:hAnsiTheme="minorHAnsi" w:cstheme="minorHAnsi"/>
          <w:color w:val="000000"/>
        </w:rPr>
        <w:t xml:space="preserve">do </w:t>
      </w:r>
      <w:r>
        <w:rPr>
          <w:rFonts w:asciiTheme="minorHAnsi" w:eastAsia="Times New Roman" w:hAnsiTheme="minorHAnsi" w:cstheme="minorHAnsi"/>
          <w:color w:val="000000"/>
        </w:rPr>
        <w:t xml:space="preserve">know—housing is one of the top priorities expressed by the Governor and the Legislature. So many of the housing bills </w:t>
      </w:r>
      <w:r w:rsidR="009C302F">
        <w:rPr>
          <w:rFonts w:asciiTheme="minorHAnsi" w:eastAsia="Times New Roman" w:hAnsiTheme="minorHAnsi" w:cstheme="minorHAnsi"/>
          <w:color w:val="000000"/>
        </w:rPr>
        <w:t>are expected to</w:t>
      </w:r>
      <w:r>
        <w:rPr>
          <w:rFonts w:asciiTheme="minorHAnsi" w:eastAsia="Times New Roman" w:hAnsiTheme="minorHAnsi" w:cstheme="minorHAnsi"/>
          <w:color w:val="000000"/>
        </w:rPr>
        <w:t xml:space="preserve"> remain in play.</w:t>
      </w:r>
    </w:p>
    <w:p w14:paraId="1A987251" w14:textId="656647DE" w:rsidR="007F1049" w:rsidRDefault="007F1049" w:rsidP="001B3E82">
      <w:pPr>
        <w:widowControl/>
        <w:autoSpaceDE/>
        <w:autoSpaceDN/>
        <w:rPr>
          <w:rFonts w:asciiTheme="minorHAnsi" w:eastAsia="Times New Roman" w:hAnsiTheme="minorHAnsi" w:cstheme="minorHAnsi"/>
          <w:color w:val="000000"/>
        </w:rPr>
      </w:pPr>
    </w:p>
    <w:p w14:paraId="1FE00391" w14:textId="5BC01796" w:rsidR="007F1049" w:rsidRDefault="007F1049" w:rsidP="001B3E82">
      <w:pPr>
        <w:widowControl/>
        <w:autoSpaceDE/>
        <w:autoSpaceDN/>
        <w:rPr>
          <w:rFonts w:asciiTheme="minorHAnsi" w:eastAsia="Times New Roman" w:hAnsiTheme="minorHAnsi" w:cstheme="minorHAnsi"/>
          <w:color w:val="000000"/>
        </w:rPr>
      </w:pPr>
      <w:proofErr w:type="spellStart"/>
      <w:r>
        <w:rPr>
          <w:rFonts w:asciiTheme="minorHAnsi" w:eastAsia="Times New Roman" w:hAnsiTheme="minorHAnsi" w:cstheme="minorHAnsi"/>
          <w:color w:val="000000"/>
        </w:rPr>
        <w:t>SV@Home</w:t>
      </w:r>
      <w:proofErr w:type="spellEnd"/>
      <w:r>
        <w:rPr>
          <w:rFonts w:asciiTheme="minorHAnsi" w:eastAsia="Times New Roman" w:hAnsiTheme="minorHAnsi" w:cstheme="minorHAnsi"/>
          <w:color w:val="000000"/>
        </w:rPr>
        <w:t xml:space="preserve"> has continued to work </w:t>
      </w:r>
      <w:r w:rsidR="00676832">
        <w:rPr>
          <w:rFonts w:asciiTheme="minorHAnsi" w:eastAsia="Times New Roman" w:hAnsiTheme="minorHAnsi" w:cstheme="minorHAnsi"/>
          <w:color w:val="000000"/>
        </w:rPr>
        <w:t>with the 3Ps Coalition and our other key partners to weigh in on critical bills. In 2019, the Governor signed into law ten important housing bills that addressed the priorities identified by CASA—The Committee to House the Bay Area. This included several important tenant protection bills—a rent cap, just cause eviction protections, and access to legal services. This year, there is considerable focus on the production bills—those that streamline and incentivize the development of housing, particularly housing affordable to lower and moderate</w:t>
      </w:r>
      <w:r w:rsidR="009C302F">
        <w:rPr>
          <w:rFonts w:asciiTheme="minorHAnsi" w:eastAsia="Times New Roman" w:hAnsiTheme="minorHAnsi" w:cstheme="minorHAnsi"/>
          <w:color w:val="000000"/>
        </w:rPr>
        <w:t>-</w:t>
      </w:r>
      <w:r w:rsidR="00676832">
        <w:rPr>
          <w:rFonts w:asciiTheme="minorHAnsi" w:eastAsia="Times New Roman" w:hAnsiTheme="minorHAnsi" w:cstheme="minorHAnsi"/>
          <w:color w:val="000000"/>
        </w:rPr>
        <w:t xml:space="preserve">income households. </w:t>
      </w:r>
    </w:p>
    <w:p w14:paraId="7355AFDA" w14:textId="394840A5" w:rsidR="009C302F" w:rsidRDefault="009C302F" w:rsidP="001B3E82">
      <w:pPr>
        <w:widowControl/>
        <w:autoSpaceDE/>
        <w:autoSpaceDN/>
        <w:rPr>
          <w:rFonts w:asciiTheme="minorHAnsi" w:eastAsia="Times New Roman" w:hAnsiTheme="minorHAnsi" w:cstheme="minorHAnsi"/>
          <w:color w:val="000000"/>
        </w:rPr>
      </w:pPr>
    </w:p>
    <w:p w14:paraId="6A8C702C" w14:textId="3B770012" w:rsidR="009C302F" w:rsidRDefault="009C302F" w:rsidP="001B3E82">
      <w:pPr>
        <w:widowControl/>
        <w:autoSpaceDE/>
        <w:autoSpaceDN/>
        <w:rPr>
          <w:rFonts w:asciiTheme="minorHAnsi" w:eastAsia="Times New Roman" w:hAnsiTheme="minorHAnsi" w:cstheme="minorHAnsi"/>
          <w:color w:val="000000"/>
        </w:rPr>
      </w:pPr>
      <w:r>
        <w:rPr>
          <w:rFonts w:asciiTheme="minorHAnsi" w:eastAsia="Times New Roman" w:hAnsiTheme="minorHAnsi" w:cstheme="minorHAnsi"/>
          <w:color w:val="000000"/>
        </w:rPr>
        <w:t xml:space="preserve">Note that legislators continue to negotiate bill language, so there are several important bills that we have not yet weighed in on as we await a more final determination of the bills’ impacts. This includes Senator Jim Beall’s SB 795, for which we had previously expressed support; SB 795 has been changed from a bill that would have authorized a form of redevelopment to one that is providing significant General Fund appropriations for housing. </w:t>
      </w:r>
    </w:p>
    <w:p w14:paraId="3EED1FAC" w14:textId="77777777" w:rsidR="009C302F" w:rsidRDefault="009C302F" w:rsidP="001B3E82">
      <w:pPr>
        <w:widowControl/>
        <w:autoSpaceDE/>
        <w:autoSpaceDN/>
        <w:rPr>
          <w:rFonts w:asciiTheme="minorHAnsi" w:eastAsia="Times New Roman" w:hAnsiTheme="minorHAnsi" w:cstheme="minorHAnsi"/>
          <w:color w:val="000000"/>
        </w:rPr>
      </w:pPr>
    </w:p>
    <w:p w14:paraId="23E4DCEC" w14:textId="28B83C46" w:rsidR="009C302F" w:rsidRDefault="009C302F" w:rsidP="001B3E82">
      <w:pPr>
        <w:widowControl/>
        <w:autoSpaceDE/>
        <w:autoSpaceDN/>
        <w:rPr>
          <w:rFonts w:asciiTheme="minorHAnsi" w:eastAsia="Times New Roman" w:hAnsiTheme="minorHAnsi" w:cstheme="minorHAnsi"/>
          <w:color w:val="000000"/>
        </w:rPr>
      </w:pPr>
      <w:r>
        <w:rPr>
          <w:rFonts w:asciiTheme="minorHAnsi" w:eastAsia="Times New Roman" w:hAnsiTheme="minorHAnsi" w:cstheme="minorHAnsi"/>
          <w:color w:val="000000"/>
        </w:rPr>
        <w:t xml:space="preserve">Here are the bills that </w:t>
      </w:r>
      <w:proofErr w:type="spellStart"/>
      <w:r>
        <w:rPr>
          <w:rFonts w:asciiTheme="minorHAnsi" w:eastAsia="Times New Roman" w:hAnsiTheme="minorHAnsi" w:cstheme="minorHAnsi"/>
          <w:color w:val="000000"/>
        </w:rPr>
        <w:t>SV@Home</w:t>
      </w:r>
      <w:proofErr w:type="spellEnd"/>
      <w:r>
        <w:rPr>
          <w:rFonts w:asciiTheme="minorHAnsi" w:eastAsia="Times New Roman" w:hAnsiTheme="minorHAnsi" w:cstheme="minorHAnsi"/>
          <w:color w:val="000000"/>
        </w:rPr>
        <w:t xml:space="preserve"> has taken a position on as of today’s date:</w:t>
      </w:r>
    </w:p>
    <w:p w14:paraId="19D8BA25" w14:textId="64944F30" w:rsidR="00D8720C" w:rsidRPr="00D8720C" w:rsidRDefault="00D8720C" w:rsidP="00D8720C">
      <w:pPr>
        <w:widowControl/>
        <w:autoSpaceDE/>
        <w:autoSpaceDN/>
        <w:rPr>
          <w:rFonts w:ascii="Times New Roman" w:eastAsia="Times New Roman" w:hAnsi="Times New Roman" w:cs="Times New Roman"/>
          <w:sz w:val="24"/>
          <w:szCs w:val="24"/>
        </w:rPr>
      </w:pPr>
      <w:r w:rsidRPr="00D8720C">
        <w:rPr>
          <w:rFonts w:ascii="Calibri" w:eastAsia="Times New Roman" w:hAnsi="Calibri" w:cs="Calibri"/>
          <w:color w:val="000000"/>
        </w:rPr>
        <w:t>. </w:t>
      </w:r>
    </w:p>
    <w:p w14:paraId="4376C403" w14:textId="0DF379EC" w:rsidR="00D8720C" w:rsidRPr="00676832" w:rsidRDefault="00676832" w:rsidP="001B3E82">
      <w:pPr>
        <w:widowControl/>
        <w:autoSpaceDE/>
        <w:autoSpaceDN/>
        <w:rPr>
          <w:rFonts w:asciiTheme="minorHAnsi" w:eastAsia="Times New Roman" w:hAnsiTheme="minorHAnsi" w:cstheme="minorHAnsi"/>
          <w:b/>
          <w:color w:val="000000"/>
          <w:u w:val="single"/>
        </w:rPr>
      </w:pPr>
      <w:r w:rsidRPr="00676832">
        <w:rPr>
          <w:rFonts w:asciiTheme="minorHAnsi" w:eastAsia="Times New Roman" w:hAnsiTheme="minorHAnsi" w:cstheme="minorHAnsi"/>
          <w:b/>
          <w:color w:val="000000"/>
          <w:u w:val="single"/>
        </w:rPr>
        <w:t>Production</w:t>
      </w:r>
    </w:p>
    <w:p w14:paraId="3D028767" w14:textId="77777777" w:rsidR="0008391A" w:rsidRDefault="0008391A" w:rsidP="0008391A">
      <w:pPr>
        <w:widowControl/>
        <w:autoSpaceDE/>
        <w:autoSpaceDN/>
        <w:ind w:right="115"/>
        <w:rPr>
          <w:rFonts w:asciiTheme="minorHAnsi" w:eastAsia="Times New Roman" w:hAnsiTheme="minorHAnsi" w:cstheme="minorHAnsi"/>
          <w:color w:val="000000"/>
        </w:rPr>
      </w:pPr>
    </w:p>
    <w:p w14:paraId="4EE33784" w14:textId="0D3934C9" w:rsidR="0008391A" w:rsidRPr="00AB23EE" w:rsidRDefault="00AB23EE" w:rsidP="00AB23EE">
      <w:pPr>
        <w:widowControl/>
        <w:autoSpaceDE/>
        <w:autoSpaceDN/>
        <w:ind w:right="115"/>
        <w:rPr>
          <w:rFonts w:asciiTheme="minorHAnsi" w:eastAsia="Times New Roman" w:hAnsiTheme="minorHAnsi" w:cstheme="minorHAnsi"/>
          <w:color w:val="000000"/>
        </w:rPr>
      </w:pPr>
      <w:hyperlink r:id="rId4" w:history="1">
        <w:r w:rsidR="0008391A" w:rsidRPr="00397A4F">
          <w:rPr>
            <w:rStyle w:val="Hyperlink"/>
            <w:rFonts w:asciiTheme="minorHAnsi" w:eastAsia="Times New Roman" w:hAnsiTheme="minorHAnsi" w:cstheme="minorHAnsi"/>
            <w:b/>
          </w:rPr>
          <w:t>AB 953 (Ting)</w:t>
        </w:r>
      </w:hyperlink>
      <w:r w:rsidR="0008391A" w:rsidRPr="009C302F">
        <w:rPr>
          <w:rFonts w:asciiTheme="minorHAnsi" w:eastAsia="Times New Roman" w:hAnsiTheme="minorHAnsi" w:cstheme="minorHAnsi"/>
          <w:b/>
          <w:color w:val="000000"/>
        </w:rPr>
        <w:t>—</w:t>
      </w:r>
      <w:r w:rsidR="0008391A" w:rsidRPr="00676832">
        <w:rPr>
          <w:rFonts w:asciiTheme="minorHAnsi" w:eastAsia="Times New Roman" w:hAnsiTheme="minorHAnsi" w:cstheme="minorHAnsi"/>
          <w:color w:val="000000"/>
        </w:rPr>
        <w:t>Makes minor amendments to clarify several bills—AB 68 (Ting), AB 881 (Bloom), and SB 13 (</w:t>
      </w:r>
      <w:proofErr w:type="spellStart"/>
      <w:r w:rsidR="0008391A" w:rsidRPr="00676832">
        <w:rPr>
          <w:rFonts w:asciiTheme="minorHAnsi" w:eastAsia="Times New Roman" w:hAnsiTheme="minorHAnsi" w:cstheme="minorHAnsi"/>
          <w:color w:val="000000"/>
        </w:rPr>
        <w:t>Wieckowski</w:t>
      </w:r>
      <w:proofErr w:type="spellEnd"/>
      <w:r w:rsidR="0008391A" w:rsidRPr="00676832">
        <w:rPr>
          <w:rFonts w:asciiTheme="minorHAnsi" w:eastAsia="Times New Roman" w:hAnsiTheme="minorHAnsi" w:cstheme="minorHAnsi"/>
          <w:color w:val="000000"/>
        </w:rPr>
        <w:t>)—that streamline and encourage the development of Accessory Dwelling Units (ADUs).</w:t>
      </w:r>
    </w:p>
    <w:p w14:paraId="4B9FD7DD" w14:textId="77777777" w:rsidR="00D8720C" w:rsidRDefault="00D8720C" w:rsidP="001B3E82">
      <w:pPr>
        <w:widowControl/>
        <w:autoSpaceDE/>
        <w:autoSpaceDN/>
        <w:rPr>
          <w:rFonts w:asciiTheme="minorHAnsi" w:eastAsia="Times New Roman" w:hAnsiTheme="minorHAnsi" w:cstheme="minorHAnsi"/>
          <w:color w:val="000000"/>
        </w:rPr>
      </w:pPr>
    </w:p>
    <w:p w14:paraId="1F8B5ED5" w14:textId="02E6D84A" w:rsidR="0008391A" w:rsidRDefault="00AB23EE" w:rsidP="0008391A">
      <w:pPr>
        <w:widowControl/>
        <w:autoSpaceDE/>
        <w:autoSpaceDN/>
        <w:rPr>
          <w:rFonts w:ascii="Calibri" w:eastAsia="Times New Roman" w:hAnsi="Calibri" w:cs="Calibri"/>
          <w:color w:val="000000"/>
        </w:rPr>
      </w:pPr>
      <w:hyperlink r:id="rId5" w:history="1">
        <w:r w:rsidR="0008391A" w:rsidRPr="00397A4F">
          <w:rPr>
            <w:rStyle w:val="Hyperlink"/>
            <w:rFonts w:asciiTheme="minorHAnsi" w:eastAsia="Times New Roman" w:hAnsiTheme="minorHAnsi" w:cstheme="minorHAnsi"/>
            <w:b/>
          </w:rPr>
          <w:t xml:space="preserve">AB </w:t>
        </w:r>
        <w:r w:rsidR="0008391A" w:rsidRPr="00397A4F">
          <w:rPr>
            <w:rStyle w:val="Hyperlink"/>
            <w:rFonts w:eastAsia="Times New Roman" w:cstheme="minorHAnsi"/>
            <w:b/>
          </w:rPr>
          <w:t>1907 (San</w:t>
        </w:r>
        <w:r w:rsidR="0008391A" w:rsidRPr="00397A4F">
          <w:rPr>
            <w:rStyle w:val="Hyperlink"/>
            <w:rFonts w:eastAsia="Times New Roman" w:cstheme="minorHAnsi"/>
            <w:b/>
          </w:rPr>
          <w:t>t</w:t>
        </w:r>
        <w:r w:rsidR="0008391A" w:rsidRPr="00397A4F">
          <w:rPr>
            <w:rStyle w:val="Hyperlink"/>
            <w:rFonts w:eastAsia="Times New Roman" w:cstheme="minorHAnsi"/>
            <w:b/>
          </w:rPr>
          <w:t>iago)</w:t>
        </w:r>
      </w:hyperlink>
      <w:r w:rsidR="0008391A">
        <w:rPr>
          <w:rFonts w:eastAsia="Times New Roman" w:cstheme="minorHAnsi"/>
          <w:color w:val="000000"/>
        </w:rPr>
        <w:t xml:space="preserve">-- </w:t>
      </w:r>
      <w:r w:rsidR="0008391A" w:rsidRPr="007C40BC">
        <w:rPr>
          <w:rFonts w:ascii="Calibri" w:eastAsia="Times New Roman" w:hAnsi="Calibri" w:cs="Calibri"/>
          <w:color w:val="000000"/>
        </w:rPr>
        <w:t xml:space="preserve">would </w:t>
      </w:r>
      <w:r w:rsidR="0008391A">
        <w:rPr>
          <w:rFonts w:ascii="Calibri" w:eastAsia="Times New Roman" w:hAnsi="Calibri" w:cs="Calibri"/>
          <w:color w:val="000000"/>
        </w:rPr>
        <w:t>build on last year’s AB 1197, which applied to the City of Los Angeles, by exempting emergency shelters, supportive housing, and affordable housing for lower-income households from CEQA until January 1, 2029.</w:t>
      </w:r>
      <w:r w:rsidR="009E5D44">
        <w:rPr>
          <w:rFonts w:ascii="Calibri" w:eastAsia="Times New Roman" w:hAnsi="Calibri" w:cs="Calibri"/>
          <w:color w:val="000000"/>
        </w:rPr>
        <w:t xml:space="preserve"> 5/13/20 Update: AB 1907 did not make it out of the Assembly Natural Resources Committee yesterday, so is effectively dead for the year.</w:t>
      </w:r>
    </w:p>
    <w:p w14:paraId="29DF6232" w14:textId="77777777" w:rsidR="0008391A" w:rsidRDefault="0008391A" w:rsidP="0008391A">
      <w:pPr>
        <w:widowControl/>
        <w:autoSpaceDE/>
        <w:autoSpaceDN/>
        <w:rPr>
          <w:rFonts w:ascii="Calibri" w:eastAsia="Times New Roman" w:hAnsi="Calibri" w:cs="Calibri"/>
          <w:color w:val="000000"/>
        </w:rPr>
      </w:pPr>
    </w:p>
    <w:p w14:paraId="7E47FC5F" w14:textId="7C71D2BA" w:rsidR="001B3E82" w:rsidRDefault="00AB23EE" w:rsidP="001B3E82">
      <w:pPr>
        <w:widowControl/>
        <w:autoSpaceDE/>
        <w:autoSpaceDN/>
        <w:rPr>
          <w:rFonts w:asciiTheme="minorHAnsi" w:eastAsia="Times New Roman" w:hAnsiTheme="minorHAnsi" w:cstheme="minorHAnsi"/>
          <w:color w:val="000000"/>
        </w:rPr>
      </w:pPr>
      <w:hyperlink r:id="rId6" w:history="1">
        <w:r w:rsidR="001B3E82" w:rsidRPr="00397A4F">
          <w:rPr>
            <w:rStyle w:val="Hyperlink"/>
            <w:rFonts w:asciiTheme="minorHAnsi" w:eastAsia="Times New Roman" w:hAnsiTheme="minorHAnsi" w:cstheme="minorHAnsi"/>
            <w:b/>
          </w:rPr>
          <w:t>AB 2345 (Gonzalez)</w:t>
        </w:r>
      </w:hyperlink>
      <w:r w:rsidR="00A50CE1">
        <w:rPr>
          <w:rFonts w:asciiTheme="minorHAnsi" w:eastAsia="Times New Roman" w:hAnsiTheme="minorHAnsi" w:cstheme="minorHAnsi"/>
          <w:color w:val="000000"/>
        </w:rPr>
        <w:t xml:space="preserve">-- </w:t>
      </w:r>
      <w:r w:rsidR="001B3E82">
        <w:rPr>
          <w:rFonts w:asciiTheme="minorHAnsi" w:eastAsia="Times New Roman" w:hAnsiTheme="minorHAnsi" w:cstheme="minorHAnsi"/>
          <w:color w:val="000000"/>
        </w:rPr>
        <w:t xml:space="preserve">would </w:t>
      </w:r>
      <w:r w:rsidR="001B3E82" w:rsidRPr="005E12CD">
        <w:rPr>
          <w:rFonts w:asciiTheme="minorHAnsi" w:eastAsia="Times New Roman" w:hAnsiTheme="minorHAnsi" w:cstheme="minorHAnsi"/>
          <w:color w:val="000000"/>
        </w:rPr>
        <w:t xml:space="preserve">expand California’s Density Bonus Law to </w:t>
      </w:r>
      <w:r w:rsidR="00763E5F">
        <w:rPr>
          <w:rFonts w:asciiTheme="minorHAnsi" w:eastAsia="Times New Roman" w:hAnsiTheme="minorHAnsi" w:cstheme="minorHAnsi"/>
          <w:color w:val="000000"/>
        </w:rPr>
        <w:t>increase</w:t>
      </w:r>
      <w:r w:rsidR="001B3E82" w:rsidRPr="005E12CD">
        <w:rPr>
          <w:rFonts w:asciiTheme="minorHAnsi" w:eastAsia="Times New Roman" w:hAnsiTheme="minorHAnsi" w:cstheme="minorHAnsi"/>
          <w:color w:val="000000"/>
        </w:rPr>
        <w:t xml:space="preserve"> the maximum bonus to 50-percent and increas</w:t>
      </w:r>
      <w:r w:rsidR="00763E5F">
        <w:rPr>
          <w:rFonts w:asciiTheme="minorHAnsi" w:eastAsia="Times New Roman" w:hAnsiTheme="minorHAnsi" w:cstheme="minorHAnsi"/>
          <w:color w:val="000000"/>
        </w:rPr>
        <w:t>e</w:t>
      </w:r>
      <w:r w:rsidR="001B3E82" w:rsidRPr="005E12CD">
        <w:rPr>
          <w:rFonts w:asciiTheme="minorHAnsi" w:eastAsia="Times New Roman" w:hAnsiTheme="minorHAnsi" w:cstheme="minorHAnsi"/>
          <w:color w:val="000000"/>
        </w:rPr>
        <w:t xml:space="preserve"> the maximum number of allowable incentives</w:t>
      </w:r>
      <w:r w:rsidR="00763E5F">
        <w:rPr>
          <w:rFonts w:asciiTheme="minorHAnsi" w:eastAsia="Times New Roman" w:hAnsiTheme="minorHAnsi" w:cstheme="minorHAnsi"/>
          <w:color w:val="000000"/>
        </w:rPr>
        <w:t xml:space="preserve"> consistent with enhancements adopted by the City of San Diego, which has </w:t>
      </w:r>
      <w:r w:rsidR="001B3E82" w:rsidRPr="005E12CD">
        <w:rPr>
          <w:rFonts w:asciiTheme="minorHAnsi" w:eastAsia="Times New Roman" w:hAnsiTheme="minorHAnsi" w:cstheme="minorHAnsi"/>
          <w:color w:val="000000"/>
        </w:rPr>
        <w:t>resulted in substantially more application</w:t>
      </w:r>
      <w:r w:rsidR="001B3E82">
        <w:rPr>
          <w:rFonts w:asciiTheme="minorHAnsi" w:eastAsia="Times New Roman" w:hAnsiTheme="minorHAnsi" w:cstheme="minorHAnsi"/>
          <w:color w:val="000000"/>
        </w:rPr>
        <w:t>s for</w:t>
      </w:r>
      <w:r w:rsidR="001B3E82" w:rsidRPr="005E12CD">
        <w:rPr>
          <w:rFonts w:asciiTheme="minorHAnsi" w:eastAsia="Times New Roman" w:hAnsiTheme="minorHAnsi" w:cstheme="minorHAnsi"/>
          <w:color w:val="000000"/>
        </w:rPr>
        <w:t xml:space="preserve"> </w:t>
      </w:r>
      <w:r w:rsidR="001B3E82">
        <w:rPr>
          <w:rFonts w:asciiTheme="minorHAnsi" w:eastAsia="Times New Roman" w:hAnsiTheme="minorHAnsi" w:cstheme="minorHAnsi"/>
          <w:color w:val="000000"/>
        </w:rPr>
        <w:t>new affordable homes</w:t>
      </w:r>
      <w:r w:rsidR="001B3E82" w:rsidRPr="005E12CD">
        <w:rPr>
          <w:rFonts w:asciiTheme="minorHAnsi" w:eastAsia="Times New Roman" w:hAnsiTheme="minorHAnsi" w:cstheme="minorHAnsi"/>
          <w:color w:val="000000"/>
        </w:rPr>
        <w:t>.</w:t>
      </w:r>
    </w:p>
    <w:p w14:paraId="75CF56E7" w14:textId="77777777" w:rsidR="0008391A" w:rsidRDefault="0008391A" w:rsidP="0008391A">
      <w:pPr>
        <w:rPr>
          <w:rFonts w:cstheme="minorHAnsi"/>
        </w:rPr>
      </w:pPr>
    </w:p>
    <w:p w14:paraId="2E45E171" w14:textId="31CD1451" w:rsidR="0008391A" w:rsidRPr="007A2BEC" w:rsidRDefault="00AB23EE" w:rsidP="0008391A">
      <w:pPr>
        <w:widowControl/>
        <w:autoSpaceDE/>
        <w:autoSpaceDN/>
        <w:rPr>
          <w:rFonts w:asciiTheme="minorHAnsi" w:eastAsia="Times New Roman" w:hAnsiTheme="minorHAnsi" w:cstheme="minorHAnsi"/>
          <w:sz w:val="24"/>
          <w:szCs w:val="24"/>
        </w:rPr>
      </w:pPr>
      <w:hyperlink r:id="rId7" w:history="1">
        <w:r w:rsidR="0008391A" w:rsidRPr="00397A4F">
          <w:rPr>
            <w:rStyle w:val="Hyperlink"/>
            <w:rFonts w:cstheme="minorHAnsi"/>
            <w:b/>
          </w:rPr>
          <w:t>AB 2666 (Boerner Horvath)</w:t>
        </w:r>
      </w:hyperlink>
      <w:r w:rsidR="0008391A">
        <w:rPr>
          <w:rFonts w:cstheme="minorHAnsi"/>
          <w:b/>
        </w:rPr>
        <w:t>—</w:t>
      </w:r>
      <w:r w:rsidR="0008391A" w:rsidRPr="007A2BEC">
        <w:rPr>
          <w:rFonts w:asciiTheme="minorHAnsi" w:eastAsia="Times New Roman" w:hAnsiTheme="minorHAnsi" w:cstheme="minorHAnsi"/>
          <w:color w:val="333333"/>
          <w:shd w:val="clear" w:color="auto" w:fill="FFFFFF"/>
        </w:rPr>
        <w:t xml:space="preserve"> would prohibit a local agency from imposing specified requirements on a small home lot development, including setback requirements between units, requirements on the minimum size of each small home lot development, and specified parking requirements.</w:t>
      </w:r>
    </w:p>
    <w:p w14:paraId="610958A8" w14:textId="3E9B0BC2" w:rsidR="00A50CE1" w:rsidRDefault="00A50CE1" w:rsidP="001B3E82">
      <w:pPr>
        <w:widowControl/>
        <w:autoSpaceDE/>
        <w:autoSpaceDN/>
        <w:rPr>
          <w:rFonts w:asciiTheme="minorHAnsi" w:eastAsia="Times New Roman" w:hAnsiTheme="minorHAnsi" w:cstheme="minorHAnsi"/>
          <w:color w:val="000000"/>
        </w:rPr>
      </w:pPr>
    </w:p>
    <w:p w14:paraId="430D3D39" w14:textId="7A9A9496" w:rsidR="0008391A" w:rsidRDefault="00AB23EE" w:rsidP="0008391A">
      <w:pPr>
        <w:widowControl/>
        <w:autoSpaceDE/>
        <w:autoSpaceDN/>
        <w:ind w:right="115"/>
        <w:rPr>
          <w:rFonts w:asciiTheme="minorHAnsi" w:eastAsia="Times New Roman" w:hAnsiTheme="minorHAnsi" w:cstheme="minorHAnsi"/>
          <w:color w:val="000000"/>
        </w:rPr>
      </w:pPr>
      <w:hyperlink r:id="rId8" w:history="1">
        <w:r w:rsidR="0008391A" w:rsidRPr="00397A4F">
          <w:rPr>
            <w:rStyle w:val="Hyperlink"/>
            <w:b/>
          </w:rPr>
          <w:t>AB 3107 (Bloom)</w:t>
        </w:r>
      </w:hyperlink>
      <w:r w:rsidR="0008391A" w:rsidRPr="009C302F">
        <w:rPr>
          <w:b/>
        </w:rPr>
        <w:t>—</w:t>
      </w:r>
      <w:r w:rsidR="0008391A">
        <w:rPr>
          <w:rFonts w:asciiTheme="minorHAnsi" w:eastAsia="Times New Roman" w:hAnsiTheme="minorHAnsi" w:cstheme="minorHAnsi"/>
          <w:color w:val="000000"/>
        </w:rPr>
        <w:t xml:space="preserve">would </w:t>
      </w:r>
      <w:r w:rsidR="0008391A" w:rsidRPr="00D336AB">
        <w:rPr>
          <w:rFonts w:asciiTheme="minorHAnsi" w:eastAsia="Times New Roman" w:hAnsiTheme="minorHAnsi" w:cstheme="minorHAnsi"/>
          <w:color w:val="000000"/>
        </w:rPr>
        <w:t xml:space="preserve">allow housing developments </w:t>
      </w:r>
      <w:r w:rsidR="0008391A">
        <w:rPr>
          <w:rFonts w:asciiTheme="minorHAnsi" w:eastAsia="Times New Roman" w:hAnsiTheme="minorHAnsi" w:cstheme="minorHAnsi"/>
          <w:color w:val="000000"/>
        </w:rPr>
        <w:t>with</w:t>
      </w:r>
      <w:r w:rsidR="0008391A" w:rsidRPr="00D336AB">
        <w:rPr>
          <w:rFonts w:asciiTheme="minorHAnsi" w:eastAsia="Times New Roman" w:hAnsiTheme="minorHAnsi" w:cstheme="minorHAnsi"/>
          <w:color w:val="000000"/>
        </w:rPr>
        <w:t xml:space="preserve"> at least 20% of units </w:t>
      </w:r>
      <w:r w:rsidR="0008391A">
        <w:rPr>
          <w:rFonts w:asciiTheme="minorHAnsi" w:eastAsia="Times New Roman" w:hAnsiTheme="minorHAnsi" w:cstheme="minorHAnsi"/>
          <w:color w:val="000000"/>
        </w:rPr>
        <w:t xml:space="preserve">set aside </w:t>
      </w:r>
      <w:r w:rsidR="0008391A" w:rsidRPr="00D336AB">
        <w:rPr>
          <w:rFonts w:asciiTheme="minorHAnsi" w:eastAsia="Times New Roman" w:hAnsiTheme="minorHAnsi" w:cstheme="minorHAnsi"/>
          <w:color w:val="000000"/>
        </w:rPr>
        <w:t xml:space="preserve">for lower-income households </w:t>
      </w:r>
      <w:r w:rsidR="0008391A">
        <w:rPr>
          <w:rFonts w:asciiTheme="minorHAnsi" w:eastAsia="Times New Roman" w:hAnsiTheme="minorHAnsi" w:cstheme="minorHAnsi"/>
          <w:color w:val="000000"/>
        </w:rPr>
        <w:t xml:space="preserve">to be built </w:t>
      </w:r>
      <w:r w:rsidR="0008391A" w:rsidRPr="00D336AB">
        <w:rPr>
          <w:rFonts w:asciiTheme="minorHAnsi" w:eastAsia="Times New Roman" w:hAnsiTheme="minorHAnsi" w:cstheme="minorHAnsi"/>
          <w:color w:val="000000"/>
        </w:rPr>
        <w:t>on any site designated for commercial use.</w:t>
      </w:r>
    </w:p>
    <w:p w14:paraId="6DF285C0" w14:textId="77777777" w:rsidR="0008391A" w:rsidRDefault="0008391A" w:rsidP="0008391A">
      <w:pPr>
        <w:widowControl/>
        <w:autoSpaceDE/>
        <w:autoSpaceDN/>
        <w:ind w:right="115"/>
        <w:rPr>
          <w:rFonts w:asciiTheme="minorHAnsi" w:eastAsia="Times New Roman" w:hAnsiTheme="minorHAnsi" w:cstheme="minorHAnsi"/>
          <w:color w:val="000000"/>
        </w:rPr>
      </w:pPr>
    </w:p>
    <w:p w14:paraId="0C0212FC" w14:textId="028C1832" w:rsidR="0008391A" w:rsidRDefault="00AB23EE" w:rsidP="0008391A">
      <w:pPr>
        <w:widowControl/>
        <w:autoSpaceDE/>
        <w:autoSpaceDN/>
        <w:ind w:right="115"/>
        <w:rPr>
          <w:rFonts w:asciiTheme="minorHAnsi" w:eastAsia="Times New Roman" w:hAnsiTheme="minorHAnsi" w:cstheme="minorHAnsi"/>
          <w:color w:val="000000"/>
        </w:rPr>
      </w:pPr>
      <w:hyperlink r:id="rId9" w:history="1">
        <w:r w:rsidR="0008391A" w:rsidRPr="00397A4F">
          <w:rPr>
            <w:rStyle w:val="Hyperlink"/>
            <w:rFonts w:asciiTheme="minorHAnsi" w:eastAsia="Times New Roman" w:hAnsiTheme="minorHAnsi" w:cstheme="minorHAnsi"/>
            <w:b/>
          </w:rPr>
          <w:t>AB 3155 (Rivas)</w:t>
        </w:r>
      </w:hyperlink>
      <w:r w:rsidR="0008391A" w:rsidRPr="009C302F">
        <w:rPr>
          <w:rFonts w:asciiTheme="minorHAnsi" w:eastAsia="Times New Roman" w:hAnsiTheme="minorHAnsi" w:cstheme="minorHAnsi"/>
          <w:b/>
          <w:color w:val="000000"/>
        </w:rPr>
        <w:t>—</w:t>
      </w:r>
      <w:r w:rsidR="0008391A">
        <w:rPr>
          <w:rFonts w:asciiTheme="minorHAnsi" w:eastAsia="Times New Roman" w:hAnsiTheme="minorHAnsi" w:cstheme="minorHAnsi"/>
          <w:color w:val="000000"/>
        </w:rPr>
        <w:t xml:space="preserve">would </w:t>
      </w:r>
      <w:r w:rsidR="0008391A" w:rsidRPr="00911458">
        <w:rPr>
          <w:rFonts w:asciiTheme="minorHAnsi" w:eastAsia="Times New Roman" w:hAnsiTheme="minorHAnsi" w:cstheme="minorHAnsi"/>
          <w:color w:val="000000"/>
        </w:rPr>
        <w:t>encourage and expedite the production of housing development projects of ten units or less by leveraging provisions within SB 35</w:t>
      </w:r>
      <w:r w:rsidR="0008391A">
        <w:rPr>
          <w:rFonts w:asciiTheme="minorHAnsi" w:eastAsia="Times New Roman" w:hAnsiTheme="minorHAnsi" w:cstheme="minorHAnsi"/>
          <w:color w:val="000000"/>
        </w:rPr>
        <w:t xml:space="preserve"> and </w:t>
      </w:r>
      <w:r w:rsidR="0008391A" w:rsidRPr="00911458">
        <w:rPr>
          <w:rFonts w:asciiTheme="minorHAnsi" w:eastAsia="Times New Roman" w:hAnsiTheme="minorHAnsi" w:cstheme="minorHAnsi"/>
          <w:color w:val="000000"/>
        </w:rPr>
        <w:t>allow</w:t>
      </w:r>
      <w:r w:rsidR="0008391A">
        <w:rPr>
          <w:rFonts w:asciiTheme="minorHAnsi" w:eastAsia="Times New Roman" w:hAnsiTheme="minorHAnsi" w:cstheme="minorHAnsi"/>
          <w:color w:val="000000"/>
        </w:rPr>
        <w:t xml:space="preserve">ing </w:t>
      </w:r>
      <w:r w:rsidR="0008391A" w:rsidRPr="00911458">
        <w:rPr>
          <w:rFonts w:asciiTheme="minorHAnsi" w:eastAsia="Times New Roman" w:hAnsiTheme="minorHAnsi" w:cstheme="minorHAnsi"/>
          <w:color w:val="000000"/>
        </w:rPr>
        <w:t xml:space="preserve">these </w:t>
      </w:r>
      <w:r w:rsidR="0008391A">
        <w:rPr>
          <w:rFonts w:asciiTheme="minorHAnsi" w:eastAsia="Times New Roman" w:hAnsiTheme="minorHAnsi" w:cstheme="minorHAnsi"/>
          <w:color w:val="000000"/>
        </w:rPr>
        <w:t xml:space="preserve">small </w:t>
      </w:r>
      <w:r w:rsidR="0008391A" w:rsidRPr="00911458">
        <w:rPr>
          <w:rFonts w:asciiTheme="minorHAnsi" w:eastAsia="Times New Roman" w:hAnsiTheme="minorHAnsi" w:cstheme="minorHAnsi"/>
          <w:color w:val="000000"/>
        </w:rPr>
        <w:t xml:space="preserve">development projects to begin construction </w:t>
      </w:r>
      <w:r w:rsidR="0008391A">
        <w:rPr>
          <w:rFonts w:asciiTheme="minorHAnsi" w:eastAsia="Times New Roman" w:hAnsiTheme="minorHAnsi" w:cstheme="minorHAnsi"/>
          <w:color w:val="000000"/>
        </w:rPr>
        <w:t>with a Tentative Map, along with other provisions.</w:t>
      </w:r>
    </w:p>
    <w:p w14:paraId="5B81D89C" w14:textId="77777777" w:rsidR="0008391A" w:rsidRDefault="0008391A" w:rsidP="0008391A">
      <w:pPr>
        <w:widowControl/>
        <w:autoSpaceDE/>
        <w:autoSpaceDN/>
        <w:ind w:right="115"/>
        <w:rPr>
          <w:rFonts w:asciiTheme="minorHAnsi" w:eastAsia="Times New Roman" w:hAnsiTheme="minorHAnsi" w:cstheme="minorHAnsi"/>
          <w:color w:val="000000"/>
        </w:rPr>
      </w:pPr>
    </w:p>
    <w:p w14:paraId="7CF243B2" w14:textId="61E9D2CB" w:rsidR="0008391A" w:rsidRDefault="00AB23EE" w:rsidP="0008391A">
      <w:pPr>
        <w:rPr>
          <w:rFonts w:cstheme="minorHAnsi"/>
        </w:rPr>
      </w:pPr>
      <w:hyperlink r:id="rId10" w:history="1">
        <w:r w:rsidR="0008391A" w:rsidRPr="00397A4F">
          <w:rPr>
            <w:rStyle w:val="Hyperlink"/>
            <w:rFonts w:cstheme="minorHAnsi"/>
            <w:b/>
          </w:rPr>
          <w:t>AB 3234 (Gloria</w:t>
        </w:r>
        <w:r w:rsidR="0008391A" w:rsidRPr="00397A4F">
          <w:rPr>
            <w:rStyle w:val="Hyperlink"/>
            <w:rFonts w:cstheme="minorHAnsi"/>
          </w:rPr>
          <w:t>)</w:t>
        </w:r>
      </w:hyperlink>
      <w:r w:rsidR="0008391A">
        <w:rPr>
          <w:rFonts w:cstheme="minorHAnsi"/>
          <w:b/>
        </w:rPr>
        <w:t>—</w:t>
      </w:r>
      <w:r w:rsidR="0008391A">
        <w:rPr>
          <w:rFonts w:cstheme="minorHAnsi"/>
        </w:rPr>
        <w:t xml:space="preserve">would make changes to the Subdivision Map Act to eliminate the requirement for a tentative or final map for the development of a small lot subdivision, as defined by the Housing Accountability Act, if it meets specified criteria. </w:t>
      </w:r>
    </w:p>
    <w:p w14:paraId="7A855413" w14:textId="77777777" w:rsidR="00676832" w:rsidRDefault="00676832" w:rsidP="00676832">
      <w:pPr>
        <w:widowControl/>
        <w:autoSpaceDE/>
        <w:autoSpaceDN/>
        <w:ind w:right="115"/>
        <w:rPr>
          <w:rFonts w:asciiTheme="minorHAnsi" w:eastAsia="Times New Roman" w:hAnsiTheme="minorHAnsi" w:cstheme="minorHAnsi"/>
          <w:color w:val="000000"/>
        </w:rPr>
      </w:pPr>
    </w:p>
    <w:p w14:paraId="67F76618" w14:textId="102C3775" w:rsidR="00676832" w:rsidRDefault="00AB23EE" w:rsidP="00676832">
      <w:pPr>
        <w:widowControl/>
        <w:autoSpaceDE/>
        <w:autoSpaceDN/>
        <w:ind w:right="115"/>
        <w:rPr>
          <w:rFonts w:asciiTheme="minorHAnsi" w:eastAsia="Times New Roman" w:hAnsiTheme="minorHAnsi" w:cstheme="minorHAnsi"/>
          <w:color w:val="000000"/>
        </w:rPr>
      </w:pPr>
      <w:hyperlink r:id="rId11" w:history="1">
        <w:r w:rsidR="00676832" w:rsidRPr="00397A4F">
          <w:rPr>
            <w:rStyle w:val="Hyperlink"/>
            <w:rFonts w:asciiTheme="minorHAnsi" w:eastAsia="Times New Roman" w:hAnsiTheme="minorHAnsi" w:cstheme="minorHAnsi"/>
            <w:b/>
          </w:rPr>
          <w:t>SB 899 (Wiener)</w:t>
        </w:r>
      </w:hyperlink>
      <w:r w:rsidR="00676832" w:rsidRPr="009C302F">
        <w:rPr>
          <w:rFonts w:asciiTheme="minorHAnsi" w:eastAsia="Times New Roman" w:hAnsiTheme="minorHAnsi" w:cstheme="minorHAnsi"/>
          <w:b/>
          <w:color w:val="000000"/>
        </w:rPr>
        <w:t>—</w:t>
      </w:r>
      <w:r w:rsidR="00676832">
        <w:rPr>
          <w:rFonts w:asciiTheme="minorHAnsi" w:eastAsia="Times New Roman" w:hAnsiTheme="minorHAnsi" w:cstheme="minorHAnsi"/>
          <w:color w:val="000000"/>
        </w:rPr>
        <w:t>would, streamline the development process for faith-based organizations and nonprofit hospitals to enable them to build 100% multi-family affordable housing developments (targeted at 80% of Area Median Income and below) regardless of local zoning restrictions.</w:t>
      </w:r>
    </w:p>
    <w:p w14:paraId="61297F11" w14:textId="0FFC91B6" w:rsidR="00676832" w:rsidRDefault="00676832" w:rsidP="00676832">
      <w:pPr>
        <w:widowControl/>
        <w:autoSpaceDE/>
        <w:autoSpaceDN/>
        <w:ind w:right="115"/>
        <w:rPr>
          <w:rFonts w:asciiTheme="minorHAnsi" w:eastAsia="Times New Roman" w:hAnsiTheme="minorHAnsi" w:cstheme="minorHAnsi"/>
          <w:color w:val="000000"/>
        </w:rPr>
      </w:pPr>
    </w:p>
    <w:p w14:paraId="1A281056" w14:textId="3CA988C4" w:rsidR="00676832" w:rsidRDefault="00AB23EE" w:rsidP="00676832">
      <w:pPr>
        <w:widowControl/>
        <w:autoSpaceDE/>
        <w:autoSpaceDN/>
        <w:ind w:right="115"/>
        <w:rPr>
          <w:rFonts w:asciiTheme="minorHAnsi" w:eastAsia="Times New Roman" w:hAnsiTheme="minorHAnsi" w:cstheme="minorHAnsi"/>
          <w:color w:val="000000"/>
        </w:rPr>
      </w:pPr>
      <w:hyperlink r:id="rId12" w:history="1">
        <w:r w:rsidR="00676832" w:rsidRPr="00397A4F">
          <w:rPr>
            <w:rStyle w:val="Hyperlink"/>
            <w:rFonts w:asciiTheme="minorHAnsi" w:eastAsia="Times New Roman" w:hAnsiTheme="minorHAnsi" w:cstheme="minorHAnsi"/>
            <w:b/>
          </w:rPr>
          <w:t>SB 902 (Wiener)</w:t>
        </w:r>
      </w:hyperlink>
      <w:r w:rsidR="00676832" w:rsidRPr="009C302F">
        <w:rPr>
          <w:rFonts w:asciiTheme="minorHAnsi" w:eastAsia="Times New Roman" w:hAnsiTheme="minorHAnsi" w:cstheme="minorHAnsi"/>
          <w:b/>
          <w:color w:val="000000"/>
        </w:rPr>
        <w:t>—</w:t>
      </w:r>
      <w:r w:rsidR="00676832">
        <w:rPr>
          <w:rFonts w:asciiTheme="minorHAnsi" w:eastAsia="Times New Roman" w:hAnsiTheme="minorHAnsi" w:cstheme="minorHAnsi"/>
          <w:color w:val="000000"/>
        </w:rPr>
        <w:t>Would allow the development of duplexes, triplexes, and fourplexes by right in single-family neighborhoods, superseding local zoning rules that have traditionally limited density. Additionally, the bill will provide incentives for larger cities that are willing to allow ten-unit developments, providing they are</w:t>
      </w:r>
      <w:r w:rsidR="00676832" w:rsidRPr="00021EA9">
        <w:rPr>
          <w:rFonts w:asciiTheme="minorHAnsi" w:eastAsia="Times New Roman" w:hAnsiTheme="minorHAnsi" w:cstheme="minorHAnsi"/>
          <w:color w:val="000000"/>
        </w:rPr>
        <w:t xml:space="preserve"> near high quality public transportation or </w:t>
      </w:r>
      <w:r w:rsidR="00676832">
        <w:rPr>
          <w:rFonts w:asciiTheme="minorHAnsi" w:eastAsia="Times New Roman" w:hAnsiTheme="minorHAnsi" w:cstheme="minorHAnsi"/>
          <w:color w:val="000000"/>
        </w:rPr>
        <w:t xml:space="preserve">are in </w:t>
      </w:r>
      <w:r w:rsidR="00676832" w:rsidRPr="00021EA9">
        <w:rPr>
          <w:rFonts w:asciiTheme="minorHAnsi" w:eastAsia="Times New Roman" w:hAnsiTheme="minorHAnsi" w:cstheme="minorHAnsi"/>
          <w:color w:val="000000"/>
        </w:rPr>
        <w:t>a job-rich area.</w:t>
      </w:r>
    </w:p>
    <w:p w14:paraId="0F4ABB8E" w14:textId="77777777" w:rsidR="00676832" w:rsidRPr="00D8720C" w:rsidRDefault="00676832" w:rsidP="00676832">
      <w:pPr>
        <w:widowControl/>
        <w:kinsoku w:val="0"/>
        <w:overflowPunct w:val="0"/>
        <w:adjustRightInd w:val="0"/>
        <w:ind w:left="39"/>
        <w:rPr>
          <w:rFonts w:asciiTheme="minorHAnsi" w:eastAsiaTheme="minorHAnsi" w:hAnsiTheme="minorHAnsi" w:cstheme="minorHAnsi"/>
        </w:rPr>
      </w:pPr>
    </w:p>
    <w:p w14:paraId="410A01D0" w14:textId="4817FD5D" w:rsidR="00676832" w:rsidRDefault="00AB23EE" w:rsidP="00676832">
      <w:pPr>
        <w:pStyle w:val="Default"/>
        <w:rPr>
          <w:rFonts w:asciiTheme="minorHAnsi" w:hAnsiTheme="minorHAnsi" w:cstheme="minorHAnsi"/>
          <w:sz w:val="22"/>
          <w:szCs w:val="22"/>
        </w:rPr>
      </w:pPr>
      <w:hyperlink r:id="rId13" w:history="1">
        <w:r w:rsidR="00676832" w:rsidRPr="00397A4F">
          <w:rPr>
            <w:rStyle w:val="Hyperlink"/>
            <w:rFonts w:asciiTheme="minorHAnsi" w:hAnsiTheme="minorHAnsi" w:cstheme="minorHAnsi"/>
            <w:b/>
            <w:sz w:val="22"/>
            <w:szCs w:val="22"/>
          </w:rPr>
          <w:t>SB 1085 (Skinner)</w:t>
        </w:r>
      </w:hyperlink>
      <w:r w:rsidR="00676832" w:rsidRPr="009C302F">
        <w:rPr>
          <w:rFonts w:asciiTheme="minorHAnsi" w:hAnsiTheme="minorHAnsi" w:cstheme="minorHAnsi"/>
          <w:b/>
          <w:sz w:val="22"/>
          <w:szCs w:val="22"/>
        </w:rPr>
        <w:t>—</w:t>
      </w:r>
      <w:r w:rsidR="00676832" w:rsidRPr="00D8720C">
        <w:rPr>
          <w:rFonts w:asciiTheme="minorHAnsi" w:hAnsiTheme="minorHAnsi" w:cstheme="minorHAnsi"/>
          <w:sz w:val="22"/>
          <w:szCs w:val="22"/>
        </w:rPr>
        <w:t>Would address concerns with the State’s Density Bonus Law</w:t>
      </w:r>
      <w:r w:rsidR="00676832">
        <w:rPr>
          <w:rFonts w:asciiTheme="minorHAnsi" w:hAnsiTheme="minorHAnsi" w:cstheme="minorHAnsi"/>
          <w:sz w:val="22"/>
          <w:szCs w:val="22"/>
        </w:rPr>
        <w:t xml:space="preserve"> that have proven to be a barrier to the development of affordable housing. </w:t>
      </w:r>
      <w:r w:rsidR="00676832" w:rsidRPr="004228D6">
        <w:rPr>
          <w:rFonts w:asciiTheme="minorHAnsi" w:hAnsiTheme="minorHAnsi" w:cstheme="minorHAnsi"/>
          <w:sz w:val="22"/>
          <w:szCs w:val="22"/>
        </w:rPr>
        <w:t xml:space="preserve"> </w:t>
      </w:r>
    </w:p>
    <w:p w14:paraId="1D1E2652" w14:textId="50990AB5" w:rsidR="00A50CE1" w:rsidRDefault="00A50CE1" w:rsidP="00A50CE1">
      <w:pPr>
        <w:rPr>
          <w:rFonts w:ascii="Times New Roman" w:eastAsia="Times New Roman" w:hAnsi="Times New Roman" w:cs="Times New Roman"/>
          <w:color w:val="000000"/>
        </w:rPr>
      </w:pPr>
    </w:p>
    <w:p w14:paraId="1A3C8F88" w14:textId="1BEF36B2" w:rsidR="00676832" w:rsidRPr="00676832" w:rsidRDefault="00676832" w:rsidP="00A50CE1">
      <w:pPr>
        <w:rPr>
          <w:rFonts w:asciiTheme="minorHAnsi" w:eastAsia="Times New Roman" w:hAnsiTheme="minorHAnsi" w:cstheme="minorHAnsi"/>
          <w:b/>
          <w:color w:val="000000"/>
          <w:u w:val="single"/>
        </w:rPr>
      </w:pPr>
      <w:r w:rsidRPr="00676832">
        <w:rPr>
          <w:rFonts w:asciiTheme="minorHAnsi" w:eastAsia="Times New Roman" w:hAnsiTheme="minorHAnsi" w:cstheme="minorHAnsi"/>
          <w:b/>
          <w:color w:val="000000"/>
          <w:u w:val="single"/>
        </w:rPr>
        <w:t>Preservation</w:t>
      </w:r>
    </w:p>
    <w:p w14:paraId="431209AE" w14:textId="77777777" w:rsidR="00676832" w:rsidRPr="007C40BC" w:rsidRDefault="00676832" w:rsidP="00A50CE1">
      <w:pPr>
        <w:rPr>
          <w:rFonts w:ascii="Times New Roman" w:eastAsia="Times New Roman" w:hAnsi="Times New Roman" w:cs="Times New Roman"/>
          <w:color w:val="000000"/>
        </w:rPr>
      </w:pPr>
    </w:p>
    <w:p w14:paraId="43AF0533" w14:textId="1DD5178A" w:rsidR="001B3E82" w:rsidRDefault="00AB23EE">
      <w:pPr>
        <w:rPr>
          <w:rFonts w:asciiTheme="minorHAnsi" w:eastAsia="Times New Roman" w:hAnsiTheme="minorHAnsi" w:cstheme="minorHAnsi"/>
          <w:color w:val="000000"/>
        </w:rPr>
      </w:pPr>
      <w:hyperlink r:id="rId14" w:history="1">
        <w:r w:rsidR="00A50CE1" w:rsidRPr="00397A4F">
          <w:rPr>
            <w:rStyle w:val="Hyperlink"/>
            <w:b/>
          </w:rPr>
          <w:t>AB 2058 (Gabriel)</w:t>
        </w:r>
      </w:hyperlink>
      <w:r w:rsidR="00A50CE1" w:rsidRPr="009C302F">
        <w:rPr>
          <w:b/>
        </w:rPr>
        <w:t>—</w:t>
      </w:r>
      <w:r w:rsidR="00A50CE1">
        <w:t xml:space="preserve">would </w:t>
      </w:r>
      <w:r w:rsidR="00A50CE1" w:rsidRPr="008958EC">
        <w:rPr>
          <w:rFonts w:asciiTheme="minorHAnsi" w:eastAsia="Times New Roman" w:hAnsiTheme="minorHAnsi" w:cstheme="minorHAnsi"/>
          <w:color w:val="000000"/>
        </w:rPr>
        <w:t>create an affordable housing preservation tax credit</w:t>
      </w:r>
      <w:r w:rsidR="00A50CE1">
        <w:rPr>
          <w:rFonts w:asciiTheme="minorHAnsi" w:eastAsia="Times New Roman" w:hAnsiTheme="minorHAnsi" w:cstheme="minorHAnsi"/>
          <w:color w:val="000000"/>
        </w:rPr>
        <w:t>, with a $500 million initial allocation,</w:t>
      </w:r>
      <w:r w:rsidR="00A50CE1" w:rsidRPr="008958EC">
        <w:rPr>
          <w:rFonts w:asciiTheme="minorHAnsi" w:eastAsia="Times New Roman" w:hAnsiTheme="minorHAnsi" w:cstheme="minorHAnsi"/>
          <w:color w:val="000000"/>
        </w:rPr>
        <w:t xml:space="preserve"> to preserve existing affordable apartment</w:t>
      </w:r>
      <w:r w:rsidR="00A50CE1">
        <w:rPr>
          <w:rFonts w:asciiTheme="minorHAnsi" w:eastAsia="Times New Roman" w:hAnsiTheme="minorHAnsi" w:cstheme="minorHAnsi"/>
          <w:color w:val="000000"/>
        </w:rPr>
        <w:t xml:space="preserve">s </w:t>
      </w:r>
      <w:r w:rsidR="00A50CE1" w:rsidRPr="008958EC">
        <w:rPr>
          <w:rFonts w:asciiTheme="minorHAnsi" w:eastAsia="Times New Roman" w:hAnsiTheme="minorHAnsi" w:cstheme="minorHAnsi"/>
          <w:color w:val="000000"/>
        </w:rPr>
        <w:t xml:space="preserve">and </w:t>
      </w:r>
      <w:proofErr w:type="spellStart"/>
      <w:r w:rsidR="00A50CE1" w:rsidRPr="008958EC">
        <w:rPr>
          <w:rFonts w:asciiTheme="minorHAnsi" w:eastAsia="Times New Roman" w:hAnsiTheme="minorHAnsi" w:cstheme="minorHAnsi"/>
          <w:color w:val="000000"/>
        </w:rPr>
        <w:t>mobilehome</w:t>
      </w:r>
      <w:proofErr w:type="spellEnd"/>
      <w:r w:rsidR="00A50CE1" w:rsidRPr="008958EC">
        <w:rPr>
          <w:rFonts w:asciiTheme="minorHAnsi" w:eastAsia="Times New Roman" w:hAnsiTheme="minorHAnsi" w:cstheme="minorHAnsi"/>
          <w:color w:val="000000"/>
        </w:rPr>
        <w:t xml:space="preserve"> parks</w:t>
      </w:r>
      <w:r w:rsidR="00A50CE1">
        <w:rPr>
          <w:rFonts w:asciiTheme="minorHAnsi" w:eastAsia="Times New Roman" w:hAnsiTheme="minorHAnsi" w:cstheme="minorHAnsi"/>
          <w:color w:val="000000"/>
        </w:rPr>
        <w:t xml:space="preserve"> throughout the State</w:t>
      </w:r>
      <w:r w:rsidR="00A50CE1" w:rsidRPr="008958EC">
        <w:rPr>
          <w:rFonts w:asciiTheme="minorHAnsi" w:eastAsia="Times New Roman" w:hAnsiTheme="minorHAnsi" w:cstheme="minorHAnsi"/>
          <w:color w:val="000000"/>
        </w:rPr>
        <w:t>.</w:t>
      </w:r>
    </w:p>
    <w:p w14:paraId="09A51B13" w14:textId="260A28D6" w:rsidR="00A50CE1" w:rsidRDefault="00A50CE1"/>
    <w:p w14:paraId="6ECD5E4D" w14:textId="6FAC8119" w:rsidR="00676832" w:rsidRPr="00676832" w:rsidRDefault="00676832">
      <w:pPr>
        <w:rPr>
          <w:b/>
          <w:u w:val="single"/>
        </w:rPr>
      </w:pPr>
      <w:r w:rsidRPr="00676832">
        <w:rPr>
          <w:b/>
          <w:u w:val="single"/>
        </w:rPr>
        <w:t>Protection</w:t>
      </w:r>
    </w:p>
    <w:p w14:paraId="47E19B03" w14:textId="77777777" w:rsidR="00676832" w:rsidRDefault="00676832"/>
    <w:p w14:paraId="04060C4D" w14:textId="34D0BAC8" w:rsidR="000A6E83" w:rsidRDefault="00AB23EE">
      <w:pPr>
        <w:rPr>
          <w:rFonts w:asciiTheme="minorHAnsi" w:eastAsia="Times New Roman" w:hAnsiTheme="minorHAnsi" w:cstheme="minorHAnsi"/>
          <w:color w:val="000000"/>
        </w:rPr>
      </w:pPr>
      <w:hyperlink r:id="rId15" w:history="1">
        <w:r w:rsidR="000A6E83" w:rsidRPr="00397A4F">
          <w:rPr>
            <w:rStyle w:val="Hyperlink"/>
            <w:b/>
          </w:rPr>
          <w:t>AB 2272 (Gabriel)</w:t>
        </w:r>
      </w:hyperlink>
      <w:r w:rsidR="000A6E83" w:rsidRPr="009C302F">
        <w:rPr>
          <w:b/>
        </w:rPr>
        <w:t>—</w:t>
      </w:r>
      <w:r w:rsidR="000A6E83">
        <w:t>would e</w:t>
      </w:r>
      <w:r w:rsidR="000A6E83" w:rsidRPr="0068097B">
        <w:rPr>
          <w:rFonts w:asciiTheme="minorHAnsi" w:eastAsia="Times New Roman" w:hAnsiTheme="minorHAnsi" w:cstheme="minorHAnsi"/>
          <w:color w:val="000000"/>
        </w:rPr>
        <w:t>stablish the Stable Communities Fund to provide eviction defense as well as short-term rental assistance to tenants with incomes that do not exceed 80% of the Area Median Income (AMI)</w:t>
      </w:r>
      <w:r w:rsidR="000A6E83">
        <w:rPr>
          <w:rFonts w:asciiTheme="minorHAnsi" w:eastAsia="Times New Roman" w:hAnsiTheme="minorHAnsi" w:cstheme="minorHAnsi"/>
          <w:color w:val="000000"/>
        </w:rPr>
        <w:t>.</w:t>
      </w:r>
    </w:p>
    <w:p w14:paraId="35972DAC" w14:textId="03BFE89E" w:rsidR="00676832" w:rsidRPr="00676832" w:rsidRDefault="00676832">
      <w:pPr>
        <w:rPr>
          <w:rFonts w:asciiTheme="minorHAnsi" w:eastAsia="Times New Roman" w:hAnsiTheme="minorHAnsi" w:cstheme="minorHAnsi"/>
          <w:b/>
          <w:color w:val="000000"/>
          <w:u w:val="single"/>
        </w:rPr>
      </w:pPr>
    </w:p>
    <w:p w14:paraId="744BB3A9" w14:textId="31BB3064" w:rsidR="00676832" w:rsidRDefault="00676832">
      <w:pPr>
        <w:rPr>
          <w:rFonts w:asciiTheme="minorHAnsi" w:eastAsia="Times New Roman" w:hAnsiTheme="minorHAnsi" w:cstheme="minorHAnsi"/>
          <w:b/>
          <w:color w:val="000000"/>
          <w:u w:val="single"/>
        </w:rPr>
      </w:pPr>
      <w:r w:rsidRPr="00676832">
        <w:rPr>
          <w:rFonts w:asciiTheme="minorHAnsi" w:eastAsia="Times New Roman" w:hAnsiTheme="minorHAnsi" w:cstheme="minorHAnsi"/>
          <w:b/>
          <w:color w:val="000000"/>
          <w:u w:val="single"/>
        </w:rPr>
        <w:t>Homelessness</w:t>
      </w:r>
    </w:p>
    <w:p w14:paraId="753C3FDF" w14:textId="236B3C29" w:rsidR="00676832" w:rsidRDefault="00676832">
      <w:pPr>
        <w:rPr>
          <w:rFonts w:asciiTheme="minorHAnsi" w:eastAsia="Times New Roman" w:hAnsiTheme="minorHAnsi" w:cstheme="minorHAnsi"/>
          <w:b/>
          <w:color w:val="000000"/>
          <w:u w:val="single"/>
        </w:rPr>
      </w:pPr>
    </w:p>
    <w:p w14:paraId="2302DB77" w14:textId="66AAAA0E" w:rsidR="002A60D7" w:rsidRDefault="00AB23EE" w:rsidP="00AB23EE">
      <w:pPr>
        <w:rPr>
          <w:rFonts w:asciiTheme="minorHAnsi" w:eastAsia="Times New Roman" w:hAnsiTheme="minorHAnsi" w:cstheme="minorHAnsi"/>
          <w:color w:val="000000"/>
        </w:rPr>
      </w:pPr>
      <w:hyperlink r:id="rId16" w:history="1">
        <w:r w:rsidR="00676832" w:rsidRPr="00397A4F">
          <w:rPr>
            <w:rStyle w:val="Hyperlink"/>
            <w:b/>
          </w:rPr>
          <w:t>AB 2553 (Ting)</w:t>
        </w:r>
      </w:hyperlink>
      <w:r w:rsidR="00676832" w:rsidRPr="009C302F">
        <w:rPr>
          <w:b/>
        </w:rPr>
        <w:t>--</w:t>
      </w:r>
      <w:r w:rsidR="00676832">
        <w:t xml:space="preserve"> </w:t>
      </w:r>
      <w:r w:rsidR="00676832">
        <w:rPr>
          <w:rFonts w:asciiTheme="minorHAnsi" w:eastAsia="Times New Roman" w:hAnsiTheme="minorHAnsi" w:cstheme="minorHAnsi"/>
          <w:color w:val="000000"/>
        </w:rPr>
        <w:t>would give all cities and counties in the State the regulatory flexibility to expedite the construction of shelters for individuals experiencing homelessness by waiving or suspending CEQA requirements when a shelter crisis is declared.</w:t>
      </w:r>
    </w:p>
    <w:p w14:paraId="1660533C" w14:textId="77777777" w:rsidR="0008391A" w:rsidRDefault="0008391A" w:rsidP="0008391A">
      <w:pPr>
        <w:rPr>
          <w:rFonts w:cstheme="minorHAnsi"/>
        </w:rPr>
      </w:pPr>
    </w:p>
    <w:p w14:paraId="0865E1CB" w14:textId="74C114AC" w:rsidR="0008391A" w:rsidRDefault="00AB23EE" w:rsidP="0008391A">
      <w:pPr>
        <w:widowControl/>
        <w:autoSpaceDE/>
        <w:autoSpaceDN/>
        <w:rPr>
          <w:rFonts w:asciiTheme="minorHAnsi" w:eastAsia="Times New Roman" w:hAnsiTheme="minorHAnsi" w:cstheme="minorHAnsi"/>
          <w:color w:val="333333"/>
          <w:shd w:val="clear" w:color="auto" w:fill="FFFFFF"/>
        </w:rPr>
      </w:pPr>
      <w:hyperlink r:id="rId17" w:history="1">
        <w:r w:rsidR="0008391A" w:rsidRPr="00397A4F">
          <w:rPr>
            <w:rStyle w:val="Hyperlink"/>
            <w:rFonts w:cstheme="minorHAnsi"/>
            <w:b/>
          </w:rPr>
          <w:t>AB 2988 (Chu)</w:t>
        </w:r>
      </w:hyperlink>
      <w:r w:rsidR="0008391A">
        <w:rPr>
          <w:rFonts w:cstheme="minorHAnsi"/>
          <w:b/>
        </w:rPr>
        <w:t>--</w:t>
      </w:r>
      <w:r w:rsidR="0008391A" w:rsidRPr="007A2BEC">
        <w:rPr>
          <w:rFonts w:ascii="Verdana" w:hAnsi="Verdana"/>
          <w:color w:val="333333"/>
          <w:shd w:val="clear" w:color="auto" w:fill="FFFFFF"/>
        </w:rPr>
        <w:t xml:space="preserve"> </w:t>
      </w:r>
      <w:r w:rsidR="0008391A" w:rsidRPr="007A2BEC">
        <w:rPr>
          <w:rFonts w:asciiTheme="minorHAnsi" w:eastAsia="Times New Roman" w:hAnsiTheme="minorHAnsi" w:cstheme="minorHAnsi"/>
          <w:color w:val="333333"/>
          <w:shd w:val="clear" w:color="auto" w:fill="FFFFFF"/>
        </w:rPr>
        <w:t>would allow supportive housing by right in zones where emergency shelters are permitted.</w:t>
      </w:r>
    </w:p>
    <w:p w14:paraId="0D9F91F4" w14:textId="77777777" w:rsidR="0008391A" w:rsidRPr="007A2BEC" w:rsidRDefault="0008391A" w:rsidP="0008391A">
      <w:pPr>
        <w:widowControl/>
        <w:autoSpaceDE/>
        <w:autoSpaceDN/>
        <w:rPr>
          <w:rFonts w:ascii="Times New Roman" w:eastAsia="Times New Roman" w:hAnsi="Times New Roman" w:cs="Times New Roman"/>
          <w:sz w:val="24"/>
          <w:szCs w:val="24"/>
        </w:rPr>
      </w:pPr>
    </w:p>
    <w:p w14:paraId="51651ACA" w14:textId="020B82D5" w:rsidR="007A2BEC" w:rsidRDefault="00AB23EE" w:rsidP="00336501">
      <w:pPr>
        <w:widowControl/>
        <w:autoSpaceDE/>
        <w:autoSpaceDN/>
        <w:ind w:right="115"/>
        <w:rPr>
          <w:rFonts w:asciiTheme="minorHAnsi" w:eastAsia="Times New Roman" w:hAnsiTheme="minorHAnsi" w:cstheme="minorHAnsi"/>
          <w:color w:val="000000"/>
        </w:rPr>
      </w:pPr>
      <w:hyperlink r:id="rId18" w:history="1">
        <w:r w:rsidR="002A60D7" w:rsidRPr="00397A4F">
          <w:rPr>
            <w:rStyle w:val="Hyperlink"/>
            <w:rFonts w:asciiTheme="minorHAnsi" w:eastAsia="Times New Roman" w:hAnsiTheme="minorHAnsi" w:cstheme="minorHAnsi"/>
            <w:b/>
          </w:rPr>
          <w:t>AB 3300 (Santiago</w:t>
        </w:r>
        <w:r w:rsidR="002A60D7" w:rsidRPr="00397A4F">
          <w:rPr>
            <w:rStyle w:val="Hyperlink"/>
            <w:rFonts w:asciiTheme="minorHAnsi" w:eastAsia="Times New Roman" w:hAnsiTheme="minorHAnsi" w:cstheme="minorHAnsi"/>
          </w:rPr>
          <w:t>)</w:t>
        </w:r>
      </w:hyperlink>
      <w:r w:rsidR="002A60D7">
        <w:rPr>
          <w:rFonts w:asciiTheme="minorHAnsi" w:eastAsia="Times New Roman" w:hAnsiTheme="minorHAnsi" w:cstheme="minorHAnsi"/>
          <w:color w:val="000000"/>
        </w:rPr>
        <w:t xml:space="preserve">—would </w:t>
      </w:r>
      <w:r w:rsidR="002A60D7" w:rsidRPr="00C92F53">
        <w:rPr>
          <w:rFonts w:asciiTheme="minorHAnsi" w:eastAsia="Times New Roman" w:hAnsiTheme="minorHAnsi" w:cstheme="minorHAnsi"/>
          <w:color w:val="000000"/>
        </w:rPr>
        <w:t xml:space="preserve">appropriate $2 billion in ongoing funding to </w:t>
      </w:r>
      <w:r w:rsidR="002A60D7">
        <w:rPr>
          <w:rFonts w:asciiTheme="minorHAnsi" w:eastAsia="Times New Roman" w:hAnsiTheme="minorHAnsi" w:cstheme="minorHAnsi"/>
          <w:color w:val="000000"/>
        </w:rPr>
        <w:t>large</w:t>
      </w:r>
      <w:r w:rsidR="002A60D7" w:rsidRPr="00C92F53">
        <w:rPr>
          <w:rFonts w:asciiTheme="minorHAnsi" w:eastAsia="Times New Roman" w:hAnsiTheme="minorHAnsi" w:cstheme="minorHAnsi"/>
          <w:color w:val="000000"/>
        </w:rPr>
        <w:t xml:space="preserve"> cities, counties, homeless Continuum of Care Consortiums, and affordable housing developers to expedite the delivery of homeless housing, rental and housing assistance, and wrap-around services to those in need.</w:t>
      </w:r>
    </w:p>
    <w:p w14:paraId="54C4742B" w14:textId="77777777" w:rsidR="007A2BEC" w:rsidRDefault="007A2BEC" w:rsidP="00336501">
      <w:pPr>
        <w:widowControl/>
        <w:autoSpaceDE/>
        <w:autoSpaceDN/>
        <w:ind w:right="115"/>
        <w:rPr>
          <w:rFonts w:asciiTheme="minorHAnsi" w:eastAsia="Times New Roman" w:hAnsiTheme="minorHAnsi" w:cstheme="minorHAnsi"/>
          <w:color w:val="000000"/>
        </w:rPr>
      </w:pPr>
    </w:p>
    <w:p w14:paraId="658CC5C4" w14:textId="648BD2E2" w:rsidR="002A60D7" w:rsidRDefault="002A60D7" w:rsidP="00336501">
      <w:pPr>
        <w:widowControl/>
        <w:autoSpaceDE/>
        <w:autoSpaceDN/>
        <w:ind w:right="115"/>
        <w:rPr>
          <w:rFonts w:asciiTheme="minorHAnsi" w:eastAsia="Times New Roman" w:hAnsiTheme="minorHAnsi" w:cstheme="minorHAnsi"/>
          <w:color w:val="000000"/>
        </w:rPr>
      </w:pPr>
    </w:p>
    <w:p w14:paraId="6B5C180C" w14:textId="47193575" w:rsidR="00D8720C" w:rsidRPr="00D8720C" w:rsidRDefault="00D8720C" w:rsidP="00D8720C">
      <w:pPr>
        <w:widowControl/>
        <w:kinsoku w:val="0"/>
        <w:overflowPunct w:val="0"/>
        <w:adjustRightInd w:val="0"/>
        <w:ind w:left="39"/>
        <w:rPr>
          <w:rFonts w:asciiTheme="minorHAnsi" w:eastAsiaTheme="minorHAnsi" w:hAnsiTheme="minorHAnsi" w:cstheme="minorHAnsi"/>
        </w:rPr>
      </w:pPr>
    </w:p>
    <w:p w14:paraId="66FFBFD7" w14:textId="77777777" w:rsidR="002A60D7" w:rsidRDefault="002A60D7" w:rsidP="00336501">
      <w:pPr>
        <w:widowControl/>
        <w:autoSpaceDE/>
        <w:autoSpaceDN/>
        <w:ind w:right="115"/>
        <w:rPr>
          <w:rFonts w:asciiTheme="minorHAnsi" w:eastAsia="Times New Roman" w:hAnsiTheme="minorHAnsi" w:cstheme="minorHAnsi"/>
          <w:color w:val="000000"/>
        </w:rPr>
      </w:pPr>
    </w:p>
    <w:p w14:paraId="07D01545" w14:textId="54CC9D9B" w:rsidR="00336501" w:rsidRDefault="00336501" w:rsidP="00336501">
      <w:pPr>
        <w:widowControl/>
        <w:autoSpaceDE/>
        <w:autoSpaceDN/>
        <w:ind w:right="115"/>
        <w:rPr>
          <w:rFonts w:asciiTheme="minorHAnsi" w:eastAsia="Times New Roman" w:hAnsiTheme="minorHAnsi" w:cstheme="minorHAnsi"/>
          <w:color w:val="000000"/>
        </w:rPr>
      </w:pPr>
    </w:p>
    <w:p w14:paraId="48C71D39" w14:textId="77777777" w:rsidR="00336501" w:rsidRPr="00336501" w:rsidRDefault="00336501" w:rsidP="00336501">
      <w:pPr>
        <w:widowControl/>
        <w:autoSpaceDE/>
        <w:autoSpaceDN/>
        <w:ind w:right="115"/>
        <w:rPr>
          <w:rFonts w:asciiTheme="minorHAnsi" w:eastAsia="Times New Roman" w:hAnsiTheme="minorHAnsi" w:cstheme="minorHAnsi"/>
          <w:color w:val="000000"/>
        </w:rPr>
      </w:pPr>
    </w:p>
    <w:sectPr w:rsidR="00336501" w:rsidRPr="00336501" w:rsidSect="00F34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E82"/>
    <w:rsid w:val="0008391A"/>
    <w:rsid w:val="000A6E83"/>
    <w:rsid w:val="00114E79"/>
    <w:rsid w:val="001B3E82"/>
    <w:rsid w:val="002A60D7"/>
    <w:rsid w:val="00336501"/>
    <w:rsid w:val="00397A4F"/>
    <w:rsid w:val="00676832"/>
    <w:rsid w:val="00763E5F"/>
    <w:rsid w:val="007A2BEC"/>
    <w:rsid w:val="007F1049"/>
    <w:rsid w:val="009C302F"/>
    <w:rsid w:val="009E5D44"/>
    <w:rsid w:val="00A50CE1"/>
    <w:rsid w:val="00AB23EE"/>
    <w:rsid w:val="00D8720C"/>
    <w:rsid w:val="00ED5BA7"/>
    <w:rsid w:val="00F3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43CE"/>
  <w15:chartTrackingRefBased/>
  <w15:docId w15:val="{25A09D9E-0050-0341-9580-1CA1E0F0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B3E82"/>
    <w:pPr>
      <w:widowControl w:val="0"/>
      <w:autoSpaceDE w:val="0"/>
      <w:autoSpaceDN w:val="0"/>
    </w:pPr>
    <w:rPr>
      <w:rFonts w:ascii="Myriad Pro" w:eastAsia="Myriad Pro" w:hAnsi="Myriad Pro" w:cs="Myriad Pr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8720C"/>
    <w:pPr>
      <w:widowControl/>
      <w:adjustRightInd w:val="0"/>
      <w:ind w:left="39"/>
    </w:pPr>
    <w:rPr>
      <w:rFonts w:ascii="Times New Roman" w:eastAsiaTheme="minorHAnsi" w:hAnsi="Times New Roman" w:cs="Times New Roman"/>
    </w:rPr>
  </w:style>
  <w:style w:type="character" w:customStyle="1" w:styleId="BodyTextChar">
    <w:name w:val="Body Text Char"/>
    <w:basedOn w:val="DefaultParagraphFont"/>
    <w:link w:val="BodyText"/>
    <w:uiPriority w:val="1"/>
    <w:rsid w:val="00D8720C"/>
    <w:rPr>
      <w:rFonts w:ascii="Times New Roman" w:hAnsi="Times New Roman" w:cs="Times New Roman"/>
      <w:sz w:val="22"/>
      <w:szCs w:val="22"/>
    </w:rPr>
  </w:style>
  <w:style w:type="paragraph" w:customStyle="1" w:styleId="Default">
    <w:name w:val="Default"/>
    <w:rsid w:val="00D8720C"/>
    <w:pPr>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D8720C"/>
  </w:style>
  <w:style w:type="character" w:styleId="CommentReference">
    <w:name w:val="annotation reference"/>
    <w:basedOn w:val="DefaultParagraphFont"/>
    <w:uiPriority w:val="99"/>
    <w:semiHidden/>
    <w:unhideWhenUsed/>
    <w:rsid w:val="009C302F"/>
    <w:rPr>
      <w:sz w:val="16"/>
      <w:szCs w:val="16"/>
    </w:rPr>
  </w:style>
  <w:style w:type="paragraph" w:styleId="CommentText">
    <w:name w:val="annotation text"/>
    <w:basedOn w:val="Normal"/>
    <w:link w:val="CommentTextChar"/>
    <w:uiPriority w:val="99"/>
    <w:semiHidden/>
    <w:unhideWhenUsed/>
    <w:rsid w:val="009C302F"/>
    <w:rPr>
      <w:sz w:val="20"/>
      <w:szCs w:val="20"/>
    </w:rPr>
  </w:style>
  <w:style w:type="character" w:customStyle="1" w:styleId="CommentTextChar">
    <w:name w:val="Comment Text Char"/>
    <w:basedOn w:val="DefaultParagraphFont"/>
    <w:link w:val="CommentText"/>
    <w:uiPriority w:val="99"/>
    <w:semiHidden/>
    <w:rsid w:val="009C302F"/>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9C302F"/>
    <w:rPr>
      <w:b/>
      <w:bCs/>
    </w:rPr>
  </w:style>
  <w:style w:type="character" w:customStyle="1" w:styleId="CommentSubjectChar">
    <w:name w:val="Comment Subject Char"/>
    <w:basedOn w:val="CommentTextChar"/>
    <w:link w:val="CommentSubject"/>
    <w:uiPriority w:val="99"/>
    <w:semiHidden/>
    <w:rsid w:val="009C302F"/>
    <w:rPr>
      <w:rFonts w:ascii="Myriad Pro" w:eastAsia="Myriad Pro" w:hAnsi="Myriad Pro" w:cs="Myriad Pro"/>
      <w:b/>
      <w:bCs/>
      <w:sz w:val="20"/>
      <w:szCs w:val="20"/>
    </w:rPr>
  </w:style>
  <w:style w:type="paragraph" w:styleId="BalloonText">
    <w:name w:val="Balloon Text"/>
    <w:basedOn w:val="Normal"/>
    <w:link w:val="BalloonTextChar"/>
    <w:uiPriority w:val="99"/>
    <w:semiHidden/>
    <w:unhideWhenUsed/>
    <w:rsid w:val="009C302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C302F"/>
    <w:rPr>
      <w:rFonts w:ascii="Times New Roman" w:eastAsia="Myriad Pro" w:hAnsi="Times New Roman" w:cs="Myriad Pro"/>
      <w:sz w:val="18"/>
      <w:szCs w:val="18"/>
    </w:rPr>
  </w:style>
  <w:style w:type="character" w:styleId="Hyperlink">
    <w:name w:val="Hyperlink"/>
    <w:basedOn w:val="DefaultParagraphFont"/>
    <w:uiPriority w:val="99"/>
    <w:unhideWhenUsed/>
    <w:rsid w:val="00397A4F"/>
    <w:rPr>
      <w:color w:val="0563C1" w:themeColor="hyperlink"/>
      <w:u w:val="single"/>
    </w:rPr>
  </w:style>
  <w:style w:type="character" w:styleId="FollowedHyperlink">
    <w:name w:val="FollowedHyperlink"/>
    <w:basedOn w:val="DefaultParagraphFont"/>
    <w:uiPriority w:val="99"/>
    <w:semiHidden/>
    <w:unhideWhenUsed/>
    <w:rsid w:val="009E5D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05526">
      <w:bodyDiv w:val="1"/>
      <w:marLeft w:val="0"/>
      <w:marRight w:val="0"/>
      <w:marTop w:val="0"/>
      <w:marBottom w:val="0"/>
      <w:divBdr>
        <w:top w:val="none" w:sz="0" w:space="0" w:color="auto"/>
        <w:left w:val="none" w:sz="0" w:space="0" w:color="auto"/>
        <w:bottom w:val="none" w:sz="0" w:space="0" w:color="auto"/>
        <w:right w:val="none" w:sz="0" w:space="0" w:color="auto"/>
      </w:divBdr>
    </w:div>
    <w:div w:id="559555744">
      <w:bodyDiv w:val="1"/>
      <w:marLeft w:val="0"/>
      <w:marRight w:val="0"/>
      <w:marTop w:val="0"/>
      <w:marBottom w:val="0"/>
      <w:divBdr>
        <w:top w:val="none" w:sz="0" w:space="0" w:color="auto"/>
        <w:left w:val="none" w:sz="0" w:space="0" w:color="auto"/>
        <w:bottom w:val="none" w:sz="0" w:space="0" w:color="auto"/>
        <w:right w:val="none" w:sz="0" w:space="0" w:color="auto"/>
      </w:divBdr>
    </w:div>
    <w:div w:id="1380208354">
      <w:bodyDiv w:val="1"/>
      <w:marLeft w:val="0"/>
      <w:marRight w:val="0"/>
      <w:marTop w:val="0"/>
      <w:marBottom w:val="0"/>
      <w:divBdr>
        <w:top w:val="none" w:sz="0" w:space="0" w:color="auto"/>
        <w:left w:val="none" w:sz="0" w:space="0" w:color="auto"/>
        <w:bottom w:val="none" w:sz="0" w:space="0" w:color="auto"/>
        <w:right w:val="none" w:sz="0" w:space="0" w:color="auto"/>
      </w:divBdr>
    </w:div>
    <w:div w:id="16536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1920200AB3107" TargetMode="External"/><Relationship Id="rId13" Type="http://schemas.openxmlformats.org/officeDocument/2006/relationships/hyperlink" Target="https://leginfo.legislature.ca.gov/faces/billNavClient.xhtml?bill_id=201920200SB1085" TargetMode="External"/><Relationship Id="rId18" Type="http://schemas.openxmlformats.org/officeDocument/2006/relationships/hyperlink" Target="https://leginfo.legislature.ca.gov/faces/billNavClient.xhtml?bill_id=201920200AB3300" TargetMode="External"/><Relationship Id="rId3" Type="http://schemas.openxmlformats.org/officeDocument/2006/relationships/webSettings" Target="webSettings.xml"/><Relationship Id="rId7" Type="http://schemas.openxmlformats.org/officeDocument/2006/relationships/hyperlink" Target="https://leginfo.legislature.ca.gov/faces/billNavClient.xhtml?bill_id=201920200AB2666" TargetMode="External"/><Relationship Id="rId12" Type="http://schemas.openxmlformats.org/officeDocument/2006/relationships/hyperlink" Target="https://leginfo.legislature.ca.gov/faces/billNavClient.xhtml?bill_id=201920200SB902" TargetMode="External"/><Relationship Id="rId17" Type="http://schemas.openxmlformats.org/officeDocument/2006/relationships/hyperlink" Target="https://leginfo.legislature.ca.gov/faces/billNavClient.xhtml?bill_id=201920200AB2988" TargetMode="External"/><Relationship Id="rId2" Type="http://schemas.openxmlformats.org/officeDocument/2006/relationships/settings" Target="settings.xml"/><Relationship Id="rId16" Type="http://schemas.openxmlformats.org/officeDocument/2006/relationships/hyperlink" Target="https://leginfo.legislature.ca.gov/faces/billNavClient.xhtml?bill_id=201920200AB255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ginfo.legislature.ca.gov/faces/billNavClient.xhtml?bill_id=201920200AB2345" TargetMode="External"/><Relationship Id="rId11" Type="http://schemas.openxmlformats.org/officeDocument/2006/relationships/hyperlink" Target="https://leginfo.legislature.ca.gov/faces/billNavClient.xhtml?bill_id=201920200SB899" TargetMode="External"/><Relationship Id="rId5" Type="http://schemas.openxmlformats.org/officeDocument/2006/relationships/hyperlink" Target="https://leginfo.legislature.ca.gov/faces/billNavClient.xhtml?bill_id=201920200AB1907" TargetMode="External"/><Relationship Id="rId15" Type="http://schemas.openxmlformats.org/officeDocument/2006/relationships/hyperlink" Target="https://leginfo.legislature.ca.gov/faces/billNavClient.xhtml?bill_id=201920200AB2272" TargetMode="External"/><Relationship Id="rId10" Type="http://schemas.openxmlformats.org/officeDocument/2006/relationships/hyperlink" Target="https://leginfo.legislature.ca.gov/faces/billNavClient.xhtml?bill_id=201920200AB3234" TargetMode="External"/><Relationship Id="rId19" Type="http://schemas.openxmlformats.org/officeDocument/2006/relationships/fontTable" Target="fontTable.xml"/><Relationship Id="rId4" Type="http://schemas.openxmlformats.org/officeDocument/2006/relationships/hyperlink" Target="https://leginfo.legislature.ca.gov/faces/billTextClient.xhtml?bill_id=201920200AB953" TargetMode="External"/><Relationship Id="rId9" Type="http://schemas.openxmlformats.org/officeDocument/2006/relationships/hyperlink" Target="https://leginfo.legislature.ca.gov/faces/billNavClient.xhtml?bill_id=201920200AB3155" TargetMode="External"/><Relationship Id="rId14" Type="http://schemas.openxmlformats.org/officeDocument/2006/relationships/hyperlink" Target="https://leginfo.legislature.ca.gov/faces/billNavClient.xhtml?bill_id=201920200AB2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2020-05-14T17:53:00Z</dcterms:created>
  <dcterms:modified xsi:type="dcterms:W3CDTF">2020-05-14T17:53:00Z</dcterms:modified>
</cp:coreProperties>
</file>