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E7DCB" w14:textId="4C36A909" w:rsidR="009C302F" w:rsidRPr="007A2BEC" w:rsidRDefault="006D1DBA" w:rsidP="001B3E82">
      <w:pPr>
        <w:rPr>
          <w:rFonts w:asciiTheme="minorHAnsi" w:hAnsiTheme="minorHAnsi" w:cstheme="minorHAnsi"/>
          <w:color w:val="000000"/>
          <w:u w:val="single"/>
        </w:rPr>
      </w:pPr>
      <w:r>
        <w:rPr>
          <w:rFonts w:asciiTheme="minorHAnsi" w:hAnsiTheme="minorHAnsi" w:cstheme="minorHAnsi"/>
          <w:color w:val="000000"/>
          <w:u w:val="single"/>
        </w:rPr>
        <w:t>Important Bills Remain in Play in Sacramento</w:t>
      </w:r>
    </w:p>
    <w:p w14:paraId="224C313E" w14:textId="77777777" w:rsidR="009C302F" w:rsidRDefault="009C302F" w:rsidP="001B3E82">
      <w:pPr>
        <w:rPr>
          <w:rFonts w:asciiTheme="minorHAnsi" w:hAnsiTheme="minorHAnsi" w:cstheme="minorHAnsi"/>
          <w:color w:val="000000"/>
        </w:rPr>
      </w:pPr>
    </w:p>
    <w:p w14:paraId="7D56B1F6" w14:textId="5BED9E32" w:rsidR="00D8720C" w:rsidRPr="006D1DBA" w:rsidRDefault="006D1DBA" w:rsidP="006D1DBA">
      <w:pPr>
        <w:rPr>
          <w:rFonts w:asciiTheme="minorHAnsi" w:hAnsiTheme="minorHAnsi" w:cstheme="minorHAnsi"/>
          <w:color w:val="000000"/>
          <w:sz w:val="22"/>
          <w:szCs w:val="22"/>
        </w:rPr>
      </w:pPr>
      <w:r w:rsidRPr="006D1DBA">
        <w:rPr>
          <w:rFonts w:asciiTheme="minorHAnsi" w:hAnsiTheme="minorHAnsi" w:cstheme="minorHAnsi"/>
          <w:color w:val="000000"/>
          <w:sz w:val="22"/>
          <w:szCs w:val="22"/>
        </w:rPr>
        <w:t>While we have seen some promising bills stall this year, there are still a large number of important housing bills moving forward. H</w:t>
      </w:r>
      <w:r w:rsidR="00676832" w:rsidRPr="006D1DBA">
        <w:rPr>
          <w:rFonts w:asciiTheme="minorHAnsi" w:hAnsiTheme="minorHAnsi" w:cstheme="minorHAnsi"/>
          <w:color w:val="000000"/>
          <w:sz w:val="22"/>
          <w:szCs w:val="22"/>
        </w:rPr>
        <w:t xml:space="preserve">ousing </w:t>
      </w:r>
      <w:r w:rsidRPr="006D1DBA">
        <w:rPr>
          <w:rFonts w:asciiTheme="minorHAnsi" w:hAnsiTheme="minorHAnsi" w:cstheme="minorHAnsi"/>
          <w:color w:val="000000"/>
          <w:sz w:val="22"/>
          <w:szCs w:val="22"/>
        </w:rPr>
        <w:t>continue</w:t>
      </w:r>
      <w:r w:rsidR="00676832" w:rsidRPr="006D1DBA">
        <w:rPr>
          <w:rFonts w:asciiTheme="minorHAnsi" w:hAnsiTheme="minorHAnsi" w:cstheme="minorHAnsi"/>
          <w:color w:val="000000"/>
          <w:sz w:val="22"/>
          <w:szCs w:val="22"/>
        </w:rPr>
        <w:t xml:space="preserve">s </w:t>
      </w:r>
      <w:r w:rsidRPr="006D1DBA">
        <w:rPr>
          <w:rFonts w:asciiTheme="minorHAnsi" w:hAnsiTheme="minorHAnsi" w:cstheme="minorHAnsi"/>
          <w:color w:val="000000"/>
          <w:sz w:val="22"/>
          <w:szCs w:val="22"/>
        </w:rPr>
        <w:t xml:space="preserve">to be </w:t>
      </w:r>
      <w:r w:rsidR="00676832" w:rsidRPr="006D1DBA">
        <w:rPr>
          <w:rFonts w:asciiTheme="minorHAnsi" w:hAnsiTheme="minorHAnsi" w:cstheme="minorHAnsi"/>
          <w:color w:val="000000"/>
          <w:sz w:val="22"/>
          <w:szCs w:val="22"/>
        </w:rPr>
        <w:t xml:space="preserve">one of the top </w:t>
      </w:r>
      <w:r w:rsidRPr="006D1DBA">
        <w:rPr>
          <w:rFonts w:asciiTheme="minorHAnsi" w:hAnsiTheme="minorHAnsi" w:cstheme="minorHAnsi"/>
          <w:color w:val="000000"/>
          <w:sz w:val="22"/>
          <w:szCs w:val="22"/>
        </w:rPr>
        <w:t xml:space="preserve">legislative </w:t>
      </w:r>
      <w:r w:rsidR="00676832" w:rsidRPr="006D1DBA">
        <w:rPr>
          <w:rFonts w:asciiTheme="minorHAnsi" w:hAnsiTheme="minorHAnsi" w:cstheme="minorHAnsi"/>
          <w:color w:val="000000"/>
          <w:sz w:val="22"/>
          <w:szCs w:val="22"/>
        </w:rPr>
        <w:t xml:space="preserve">priorities expressed by the Governor and the Legislature. </w:t>
      </w:r>
    </w:p>
    <w:p w14:paraId="1A987251" w14:textId="656647DE" w:rsidR="007F1049" w:rsidRPr="006D1DBA" w:rsidRDefault="007F1049" w:rsidP="001B3E82">
      <w:pPr>
        <w:rPr>
          <w:rFonts w:asciiTheme="minorHAnsi" w:hAnsiTheme="minorHAnsi" w:cstheme="minorHAnsi"/>
          <w:color w:val="000000"/>
          <w:sz w:val="22"/>
          <w:szCs w:val="22"/>
        </w:rPr>
      </w:pPr>
    </w:p>
    <w:p w14:paraId="1FE00391" w14:textId="4E0B8E72" w:rsidR="007F1049" w:rsidRPr="006D1DBA" w:rsidRDefault="007F1049" w:rsidP="001B3E82">
      <w:pPr>
        <w:rPr>
          <w:rFonts w:asciiTheme="minorHAnsi" w:hAnsiTheme="minorHAnsi" w:cstheme="minorHAnsi"/>
          <w:color w:val="000000"/>
          <w:sz w:val="22"/>
          <w:szCs w:val="22"/>
        </w:rPr>
      </w:pPr>
      <w:proofErr w:type="spellStart"/>
      <w:r w:rsidRPr="006D1DBA">
        <w:rPr>
          <w:rFonts w:asciiTheme="minorHAnsi" w:hAnsiTheme="minorHAnsi" w:cstheme="minorHAnsi"/>
          <w:color w:val="000000"/>
          <w:sz w:val="22"/>
          <w:szCs w:val="22"/>
        </w:rPr>
        <w:t>SV@Home</w:t>
      </w:r>
      <w:proofErr w:type="spellEnd"/>
      <w:r w:rsidRPr="006D1DBA">
        <w:rPr>
          <w:rFonts w:asciiTheme="minorHAnsi" w:hAnsiTheme="minorHAnsi" w:cstheme="minorHAnsi"/>
          <w:color w:val="000000"/>
          <w:sz w:val="22"/>
          <w:szCs w:val="22"/>
        </w:rPr>
        <w:t xml:space="preserve"> continue</w:t>
      </w:r>
      <w:r w:rsidR="006D1DBA" w:rsidRPr="006D1DBA">
        <w:rPr>
          <w:rFonts w:asciiTheme="minorHAnsi" w:hAnsiTheme="minorHAnsi" w:cstheme="minorHAnsi"/>
          <w:color w:val="000000"/>
          <w:sz w:val="22"/>
          <w:szCs w:val="22"/>
        </w:rPr>
        <w:t>s</w:t>
      </w:r>
      <w:r w:rsidRPr="006D1DBA">
        <w:rPr>
          <w:rFonts w:asciiTheme="minorHAnsi" w:hAnsiTheme="minorHAnsi" w:cstheme="minorHAnsi"/>
          <w:color w:val="000000"/>
          <w:sz w:val="22"/>
          <w:szCs w:val="22"/>
        </w:rPr>
        <w:t xml:space="preserve"> to work </w:t>
      </w:r>
      <w:r w:rsidR="00676832" w:rsidRPr="006D1DBA">
        <w:rPr>
          <w:rFonts w:asciiTheme="minorHAnsi" w:hAnsiTheme="minorHAnsi" w:cstheme="minorHAnsi"/>
          <w:color w:val="000000"/>
          <w:sz w:val="22"/>
          <w:szCs w:val="22"/>
        </w:rPr>
        <w:t xml:space="preserve">with the 3Ps Coalition and other key partners to </w:t>
      </w:r>
      <w:r w:rsidR="006D1DBA" w:rsidRPr="006D1DBA">
        <w:rPr>
          <w:rFonts w:asciiTheme="minorHAnsi" w:hAnsiTheme="minorHAnsi" w:cstheme="minorHAnsi"/>
          <w:color w:val="000000"/>
          <w:sz w:val="22"/>
          <w:szCs w:val="22"/>
        </w:rPr>
        <w:t>provide support to key</w:t>
      </w:r>
      <w:r w:rsidR="00676832" w:rsidRPr="006D1DBA">
        <w:rPr>
          <w:rFonts w:asciiTheme="minorHAnsi" w:hAnsiTheme="minorHAnsi" w:cstheme="minorHAnsi"/>
          <w:color w:val="000000"/>
          <w:sz w:val="22"/>
          <w:szCs w:val="22"/>
        </w:rPr>
        <w:t xml:space="preserve"> bills. </w:t>
      </w:r>
      <w:r w:rsidR="006D1DBA" w:rsidRPr="006D1DBA">
        <w:rPr>
          <w:rFonts w:asciiTheme="minorHAnsi" w:hAnsiTheme="minorHAnsi" w:cstheme="minorHAnsi"/>
          <w:color w:val="000000"/>
          <w:sz w:val="22"/>
          <w:szCs w:val="22"/>
        </w:rPr>
        <w:t>After last year’s successful legislative year for housing, with ten 3Ps</w:t>
      </w:r>
      <w:r w:rsidR="00676832" w:rsidRPr="006D1DBA">
        <w:rPr>
          <w:rFonts w:asciiTheme="minorHAnsi" w:hAnsiTheme="minorHAnsi" w:cstheme="minorHAnsi"/>
          <w:color w:val="000000"/>
          <w:sz w:val="22"/>
          <w:szCs w:val="22"/>
        </w:rPr>
        <w:t xml:space="preserve"> housing bills </w:t>
      </w:r>
      <w:r w:rsidR="006D1DBA" w:rsidRPr="006D1DBA">
        <w:rPr>
          <w:rFonts w:asciiTheme="minorHAnsi" w:hAnsiTheme="minorHAnsi" w:cstheme="minorHAnsi"/>
          <w:color w:val="000000"/>
          <w:sz w:val="22"/>
          <w:szCs w:val="22"/>
        </w:rPr>
        <w:t xml:space="preserve">moving forward, this year’s focus has been on </w:t>
      </w:r>
      <w:r w:rsidR="00676832" w:rsidRPr="006D1DBA">
        <w:rPr>
          <w:rFonts w:asciiTheme="minorHAnsi" w:hAnsiTheme="minorHAnsi" w:cstheme="minorHAnsi"/>
          <w:color w:val="000000"/>
          <w:sz w:val="22"/>
          <w:szCs w:val="22"/>
        </w:rPr>
        <w:t>production bills—those that streamline and incentivize the development of housing, particularly housing affordable to lower and moderate</w:t>
      </w:r>
      <w:r w:rsidR="009C302F" w:rsidRPr="006D1DBA">
        <w:rPr>
          <w:rFonts w:asciiTheme="minorHAnsi" w:hAnsiTheme="minorHAnsi" w:cstheme="minorHAnsi"/>
          <w:color w:val="000000"/>
          <w:sz w:val="22"/>
          <w:szCs w:val="22"/>
        </w:rPr>
        <w:t>-</w:t>
      </w:r>
      <w:r w:rsidR="00676832" w:rsidRPr="006D1DBA">
        <w:rPr>
          <w:rFonts w:asciiTheme="minorHAnsi" w:hAnsiTheme="minorHAnsi" w:cstheme="minorHAnsi"/>
          <w:color w:val="000000"/>
          <w:sz w:val="22"/>
          <w:szCs w:val="22"/>
        </w:rPr>
        <w:t xml:space="preserve">income households. </w:t>
      </w:r>
    </w:p>
    <w:p w14:paraId="2C6483AE" w14:textId="271C8301" w:rsidR="006D1DBA" w:rsidRPr="006D1DBA" w:rsidRDefault="006D1DBA" w:rsidP="001B3E82">
      <w:pPr>
        <w:rPr>
          <w:rFonts w:asciiTheme="minorHAnsi" w:hAnsiTheme="minorHAnsi" w:cstheme="minorHAnsi"/>
          <w:color w:val="000000"/>
          <w:sz w:val="22"/>
          <w:szCs w:val="22"/>
        </w:rPr>
      </w:pPr>
    </w:p>
    <w:p w14:paraId="3CD5376E" w14:textId="384DB3CA" w:rsidR="006D1DBA" w:rsidRPr="006D1DBA" w:rsidRDefault="006D1DBA" w:rsidP="006D1DBA">
      <w:pPr>
        <w:rPr>
          <w:sz w:val="22"/>
          <w:szCs w:val="22"/>
        </w:rPr>
      </w:pPr>
      <w:r w:rsidRPr="006D1DBA">
        <w:rPr>
          <w:rFonts w:ascii="Calibri" w:hAnsi="Calibri" w:cs="Calibri"/>
          <w:color w:val="000000"/>
          <w:sz w:val="22"/>
          <w:szCs w:val="22"/>
        </w:rPr>
        <w:t>Both the Senate and Assembly are on recess</w:t>
      </w:r>
      <w:r>
        <w:rPr>
          <w:rFonts w:ascii="Calibri" w:hAnsi="Calibri" w:cs="Calibri"/>
          <w:color w:val="000000"/>
          <w:sz w:val="22"/>
          <w:szCs w:val="22"/>
        </w:rPr>
        <w:t xml:space="preserve">. </w:t>
      </w:r>
      <w:r w:rsidR="00036B88">
        <w:rPr>
          <w:rFonts w:ascii="Calibri" w:hAnsi="Calibri" w:cs="Calibri"/>
          <w:color w:val="000000"/>
          <w:sz w:val="22"/>
          <w:szCs w:val="22"/>
        </w:rPr>
        <w:t>Today, legislative leaders announced that the Legislative session will resume on July 27</w:t>
      </w:r>
      <w:r w:rsidR="00036B88" w:rsidRPr="00036B88">
        <w:rPr>
          <w:rFonts w:ascii="Calibri" w:hAnsi="Calibri" w:cs="Calibri"/>
          <w:color w:val="000000"/>
          <w:sz w:val="22"/>
          <w:szCs w:val="22"/>
          <w:vertAlign w:val="superscript"/>
        </w:rPr>
        <w:t>th</w:t>
      </w:r>
      <w:bookmarkStart w:id="0" w:name="_GoBack"/>
      <w:bookmarkEnd w:id="0"/>
      <w:r>
        <w:rPr>
          <w:rFonts w:ascii="Calibri" w:hAnsi="Calibri" w:cs="Calibri"/>
          <w:color w:val="000000"/>
          <w:sz w:val="22"/>
          <w:szCs w:val="22"/>
        </w:rPr>
        <w:t xml:space="preserve">. </w:t>
      </w:r>
    </w:p>
    <w:p w14:paraId="38BCB8A6" w14:textId="77777777" w:rsidR="00036B88" w:rsidRDefault="00036B88" w:rsidP="001B3E82">
      <w:pPr>
        <w:rPr>
          <w:rFonts w:asciiTheme="minorHAnsi" w:hAnsiTheme="minorHAnsi" w:cstheme="minorHAnsi"/>
          <w:color w:val="000000"/>
          <w:sz w:val="22"/>
          <w:szCs w:val="22"/>
        </w:rPr>
      </w:pPr>
    </w:p>
    <w:p w14:paraId="23E4DCEC" w14:textId="30654960" w:rsidR="009C302F" w:rsidRPr="006D1DBA" w:rsidRDefault="009C302F" w:rsidP="001B3E82">
      <w:pPr>
        <w:rPr>
          <w:rFonts w:asciiTheme="minorHAnsi" w:hAnsiTheme="minorHAnsi" w:cstheme="minorHAnsi"/>
          <w:color w:val="000000"/>
          <w:sz w:val="22"/>
          <w:szCs w:val="22"/>
        </w:rPr>
      </w:pPr>
      <w:r w:rsidRPr="006D1DBA">
        <w:rPr>
          <w:rFonts w:asciiTheme="minorHAnsi" w:hAnsiTheme="minorHAnsi" w:cstheme="minorHAnsi"/>
          <w:color w:val="000000"/>
          <w:sz w:val="22"/>
          <w:szCs w:val="22"/>
        </w:rPr>
        <w:t xml:space="preserve">Here are the bills that </w:t>
      </w:r>
      <w:proofErr w:type="spellStart"/>
      <w:r w:rsidRPr="006D1DBA">
        <w:rPr>
          <w:rFonts w:asciiTheme="minorHAnsi" w:hAnsiTheme="minorHAnsi" w:cstheme="minorHAnsi"/>
          <w:color w:val="000000"/>
          <w:sz w:val="22"/>
          <w:szCs w:val="22"/>
        </w:rPr>
        <w:t>SV@Home</w:t>
      </w:r>
      <w:proofErr w:type="spellEnd"/>
      <w:r w:rsidRPr="006D1DBA">
        <w:rPr>
          <w:rFonts w:asciiTheme="minorHAnsi" w:hAnsiTheme="minorHAnsi" w:cstheme="minorHAnsi"/>
          <w:color w:val="000000"/>
          <w:sz w:val="22"/>
          <w:szCs w:val="22"/>
        </w:rPr>
        <w:t xml:space="preserve"> has taken a position on as of today’s date:</w:t>
      </w:r>
    </w:p>
    <w:p w14:paraId="19D8BA25" w14:textId="5A42A151" w:rsidR="00D8720C" w:rsidRPr="006D1DBA" w:rsidRDefault="00D8720C" w:rsidP="00D8720C">
      <w:pPr>
        <w:rPr>
          <w:sz w:val="22"/>
          <w:szCs w:val="22"/>
        </w:rPr>
      </w:pPr>
    </w:p>
    <w:p w14:paraId="4376C403" w14:textId="0DF379EC" w:rsidR="00D8720C" w:rsidRPr="006D1DBA" w:rsidRDefault="00676832" w:rsidP="001B3E82">
      <w:pPr>
        <w:rPr>
          <w:rFonts w:asciiTheme="minorHAnsi" w:hAnsiTheme="minorHAnsi" w:cstheme="minorHAnsi"/>
          <w:b/>
          <w:color w:val="000000"/>
          <w:sz w:val="22"/>
          <w:szCs w:val="22"/>
          <w:u w:val="single"/>
        </w:rPr>
      </w:pPr>
      <w:r w:rsidRPr="006D1DBA">
        <w:rPr>
          <w:rFonts w:asciiTheme="minorHAnsi" w:hAnsiTheme="minorHAnsi" w:cstheme="minorHAnsi"/>
          <w:b/>
          <w:color w:val="000000"/>
          <w:sz w:val="22"/>
          <w:szCs w:val="22"/>
          <w:u w:val="single"/>
        </w:rPr>
        <w:t>Production</w:t>
      </w:r>
    </w:p>
    <w:p w14:paraId="3D028767" w14:textId="5BC01F64" w:rsidR="0008391A" w:rsidRPr="006D1DBA" w:rsidRDefault="0008391A" w:rsidP="0008391A">
      <w:pPr>
        <w:ind w:right="115"/>
        <w:rPr>
          <w:rFonts w:asciiTheme="minorHAnsi" w:hAnsiTheme="minorHAnsi" w:cstheme="minorHAnsi"/>
          <w:color w:val="000000"/>
          <w:sz w:val="22"/>
          <w:szCs w:val="22"/>
        </w:rPr>
      </w:pPr>
    </w:p>
    <w:p w14:paraId="62DBB1A9" w14:textId="352F0F67" w:rsidR="00F95FF7" w:rsidRPr="006D1DBA" w:rsidRDefault="00036B88" w:rsidP="0008391A">
      <w:pPr>
        <w:ind w:right="115"/>
        <w:rPr>
          <w:rFonts w:asciiTheme="minorHAnsi" w:hAnsiTheme="minorHAnsi" w:cstheme="minorHAnsi"/>
          <w:color w:val="000000"/>
          <w:sz w:val="22"/>
          <w:szCs w:val="22"/>
        </w:rPr>
      </w:pPr>
      <w:hyperlink r:id="rId4" w:history="1">
        <w:r w:rsidR="00F95FF7" w:rsidRPr="006D1DBA">
          <w:rPr>
            <w:rStyle w:val="Hyperlink"/>
            <w:rFonts w:asciiTheme="minorHAnsi" w:hAnsiTheme="minorHAnsi" w:cstheme="minorHAnsi"/>
            <w:b/>
            <w:sz w:val="22"/>
            <w:szCs w:val="22"/>
          </w:rPr>
          <w:t>AB 725 (Wicks)</w:t>
        </w:r>
      </w:hyperlink>
      <w:r w:rsidR="00F95FF7" w:rsidRPr="006D1DBA">
        <w:rPr>
          <w:rFonts w:asciiTheme="minorHAnsi" w:hAnsiTheme="minorHAnsi" w:cstheme="minorHAnsi"/>
          <w:color w:val="000000"/>
          <w:sz w:val="22"/>
          <w:szCs w:val="22"/>
        </w:rPr>
        <w:t xml:space="preserve">—Requires at least 25% of the jurisdiction’s share of the regional housing need for both moderate-income and above moderate-income housing to be allocated to sites with zoning that allows at least two units of housing but no more than 35 units per acre. </w:t>
      </w:r>
    </w:p>
    <w:p w14:paraId="26F6EC1C" w14:textId="77777777" w:rsidR="00F95FF7" w:rsidRPr="006D1DBA" w:rsidRDefault="00F95FF7" w:rsidP="0008391A">
      <w:pPr>
        <w:ind w:right="115"/>
        <w:rPr>
          <w:rFonts w:asciiTheme="minorHAnsi" w:hAnsiTheme="minorHAnsi" w:cstheme="minorHAnsi"/>
          <w:color w:val="000000"/>
          <w:sz w:val="22"/>
          <w:szCs w:val="22"/>
        </w:rPr>
      </w:pPr>
    </w:p>
    <w:p w14:paraId="74812FB8" w14:textId="76353499" w:rsidR="00F95FF7" w:rsidRPr="006D1DBA" w:rsidRDefault="00036B88" w:rsidP="0008391A">
      <w:pPr>
        <w:ind w:right="115"/>
        <w:rPr>
          <w:rFonts w:asciiTheme="minorHAnsi" w:hAnsiTheme="minorHAnsi" w:cstheme="minorHAnsi"/>
          <w:color w:val="000000"/>
          <w:sz w:val="22"/>
          <w:szCs w:val="22"/>
        </w:rPr>
      </w:pPr>
      <w:hyperlink r:id="rId5" w:history="1">
        <w:r w:rsidR="00F95FF7" w:rsidRPr="006D1DBA">
          <w:rPr>
            <w:rStyle w:val="Hyperlink"/>
            <w:rFonts w:asciiTheme="minorHAnsi" w:hAnsiTheme="minorHAnsi" w:cstheme="minorHAnsi"/>
            <w:b/>
            <w:sz w:val="22"/>
            <w:szCs w:val="22"/>
          </w:rPr>
          <w:t>AB 831</w:t>
        </w:r>
        <w:r w:rsidR="00FE732D" w:rsidRPr="006D1DBA">
          <w:rPr>
            <w:rStyle w:val="Hyperlink"/>
            <w:rFonts w:asciiTheme="minorHAnsi" w:hAnsiTheme="minorHAnsi" w:cstheme="minorHAnsi"/>
            <w:b/>
            <w:sz w:val="22"/>
            <w:szCs w:val="22"/>
          </w:rPr>
          <w:t xml:space="preserve"> (Grayson)</w:t>
        </w:r>
      </w:hyperlink>
      <w:r w:rsidR="00FE732D" w:rsidRPr="006D1DBA">
        <w:rPr>
          <w:rFonts w:asciiTheme="minorHAnsi" w:hAnsiTheme="minorHAnsi" w:cstheme="minorHAnsi"/>
          <w:color w:val="000000"/>
          <w:sz w:val="22"/>
          <w:szCs w:val="22"/>
        </w:rPr>
        <w:t xml:space="preserve">—Authorizes a developer to request a modification to an SB 35 approved development if the request is submitted before the issuance of the final building permit required for construction of the development and requires that the local jurisdiction determine if the modification is consistent with the objective planning standard and either approve or deny the modification </w:t>
      </w:r>
      <w:proofErr w:type="spellStart"/>
      <w:r w:rsidR="00FE732D" w:rsidRPr="006D1DBA">
        <w:rPr>
          <w:rFonts w:asciiTheme="minorHAnsi" w:hAnsiTheme="minorHAnsi" w:cstheme="minorHAnsi"/>
          <w:color w:val="000000"/>
          <w:sz w:val="22"/>
          <w:szCs w:val="22"/>
        </w:rPr>
        <w:t>withint</w:t>
      </w:r>
      <w:proofErr w:type="spellEnd"/>
      <w:r w:rsidR="00FE732D" w:rsidRPr="006D1DBA">
        <w:rPr>
          <w:rFonts w:asciiTheme="minorHAnsi" w:hAnsiTheme="minorHAnsi" w:cstheme="minorHAnsi"/>
          <w:color w:val="000000"/>
          <w:sz w:val="22"/>
          <w:szCs w:val="22"/>
        </w:rPr>
        <w:t xml:space="preserve"> 60 or 90 days.</w:t>
      </w:r>
    </w:p>
    <w:p w14:paraId="35B9D1C5" w14:textId="77777777" w:rsidR="00F95FF7" w:rsidRPr="006D1DBA" w:rsidRDefault="00F95FF7" w:rsidP="0008391A">
      <w:pPr>
        <w:ind w:right="115"/>
        <w:rPr>
          <w:rFonts w:asciiTheme="minorHAnsi" w:hAnsiTheme="minorHAnsi" w:cstheme="minorHAnsi"/>
          <w:color w:val="000000"/>
          <w:sz w:val="22"/>
          <w:szCs w:val="22"/>
        </w:rPr>
      </w:pPr>
    </w:p>
    <w:p w14:paraId="4EE33784" w14:textId="0D3934C9" w:rsidR="0008391A" w:rsidRPr="006D1DBA" w:rsidRDefault="00036B88" w:rsidP="00AB23EE">
      <w:pPr>
        <w:ind w:right="115"/>
        <w:rPr>
          <w:rFonts w:asciiTheme="minorHAnsi" w:hAnsiTheme="minorHAnsi" w:cstheme="minorHAnsi"/>
          <w:color w:val="000000"/>
          <w:sz w:val="22"/>
          <w:szCs w:val="22"/>
        </w:rPr>
      </w:pPr>
      <w:hyperlink r:id="rId6" w:history="1">
        <w:r w:rsidR="0008391A" w:rsidRPr="006D1DBA">
          <w:rPr>
            <w:rStyle w:val="Hyperlink"/>
            <w:rFonts w:asciiTheme="minorHAnsi" w:hAnsiTheme="minorHAnsi" w:cstheme="minorHAnsi"/>
            <w:b/>
            <w:sz w:val="22"/>
            <w:szCs w:val="22"/>
          </w:rPr>
          <w:t>AB 953 (Ting)</w:t>
        </w:r>
      </w:hyperlink>
      <w:r w:rsidR="0008391A" w:rsidRPr="006D1DBA">
        <w:rPr>
          <w:rFonts w:asciiTheme="minorHAnsi" w:hAnsiTheme="minorHAnsi" w:cstheme="minorHAnsi"/>
          <w:b/>
          <w:color w:val="000000"/>
          <w:sz w:val="22"/>
          <w:szCs w:val="22"/>
        </w:rPr>
        <w:t>—</w:t>
      </w:r>
      <w:r w:rsidR="0008391A" w:rsidRPr="006D1DBA">
        <w:rPr>
          <w:rFonts w:asciiTheme="minorHAnsi" w:hAnsiTheme="minorHAnsi" w:cstheme="minorHAnsi"/>
          <w:color w:val="000000"/>
          <w:sz w:val="22"/>
          <w:szCs w:val="22"/>
        </w:rPr>
        <w:t>Makes minor amendments to clarify several bills—AB 68 (Ting), AB 881 (Bloom), and SB 13 (</w:t>
      </w:r>
      <w:proofErr w:type="spellStart"/>
      <w:r w:rsidR="0008391A" w:rsidRPr="006D1DBA">
        <w:rPr>
          <w:rFonts w:asciiTheme="minorHAnsi" w:hAnsiTheme="minorHAnsi" w:cstheme="minorHAnsi"/>
          <w:color w:val="000000"/>
          <w:sz w:val="22"/>
          <w:szCs w:val="22"/>
        </w:rPr>
        <w:t>Wieckowski</w:t>
      </w:r>
      <w:proofErr w:type="spellEnd"/>
      <w:r w:rsidR="0008391A" w:rsidRPr="006D1DBA">
        <w:rPr>
          <w:rFonts w:asciiTheme="minorHAnsi" w:hAnsiTheme="minorHAnsi" w:cstheme="minorHAnsi"/>
          <w:color w:val="000000"/>
          <w:sz w:val="22"/>
          <w:szCs w:val="22"/>
        </w:rPr>
        <w:t>)—that streamline and encourage the development of Accessory Dwelling Units (ADUs).</w:t>
      </w:r>
    </w:p>
    <w:p w14:paraId="4B9FD7DD" w14:textId="7590A2D0" w:rsidR="00D8720C" w:rsidRPr="006D1DBA" w:rsidRDefault="00D8720C" w:rsidP="001B3E82">
      <w:pPr>
        <w:rPr>
          <w:rFonts w:asciiTheme="minorHAnsi" w:hAnsiTheme="minorHAnsi" w:cstheme="minorHAnsi"/>
          <w:color w:val="000000"/>
          <w:sz w:val="22"/>
          <w:szCs w:val="22"/>
        </w:rPr>
      </w:pPr>
    </w:p>
    <w:p w14:paraId="48C3089D" w14:textId="2FA9C224" w:rsidR="00F95FF7" w:rsidRPr="006D1DBA" w:rsidRDefault="00036B88" w:rsidP="001B3E82">
      <w:pPr>
        <w:rPr>
          <w:rFonts w:asciiTheme="minorHAnsi" w:hAnsiTheme="minorHAnsi" w:cstheme="minorHAnsi"/>
          <w:color w:val="000000"/>
          <w:sz w:val="22"/>
          <w:szCs w:val="22"/>
        </w:rPr>
      </w:pPr>
      <w:hyperlink r:id="rId7" w:history="1">
        <w:r w:rsidR="00F95FF7" w:rsidRPr="006D1DBA">
          <w:rPr>
            <w:rStyle w:val="Hyperlink"/>
            <w:rFonts w:asciiTheme="minorHAnsi" w:hAnsiTheme="minorHAnsi" w:cstheme="minorHAnsi"/>
            <w:b/>
            <w:sz w:val="22"/>
            <w:szCs w:val="22"/>
          </w:rPr>
          <w:t>AB 1851</w:t>
        </w:r>
        <w:r w:rsidR="00FE732D" w:rsidRPr="006D1DBA">
          <w:rPr>
            <w:rStyle w:val="Hyperlink"/>
            <w:rFonts w:asciiTheme="minorHAnsi" w:hAnsiTheme="minorHAnsi" w:cstheme="minorHAnsi"/>
            <w:b/>
            <w:sz w:val="22"/>
            <w:szCs w:val="22"/>
          </w:rPr>
          <w:t xml:space="preserve"> (Wicks)</w:t>
        </w:r>
      </w:hyperlink>
      <w:r w:rsidR="00FE732D" w:rsidRPr="006D1DBA">
        <w:rPr>
          <w:rFonts w:asciiTheme="minorHAnsi" w:hAnsiTheme="minorHAnsi" w:cstheme="minorHAnsi"/>
          <w:b/>
          <w:color w:val="000000"/>
          <w:sz w:val="22"/>
          <w:szCs w:val="22"/>
        </w:rPr>
        <w:t>—</w:t>
      </w:r>
      <w:r w:rsidR="00FE732D" w:rsidRPr="006D1DBA">
        <w:rPr>
          <w:rFonts w:asciiTheme="minorHAnsi" w:hAnsiTheme="minorHAnsi" w:cstheme="minorHAnsi"/>
          <w:color w:val="000000"/>
          <w:sz w:val="22"/>
          <w:szCs w:val="22"/>
        </w:rPr>
        <w:t xml:space="preserve">Allows a religious institution to develop an affordable housing project at a place of worship it owns even if the development reduces the number of religious-use parking spaces available. </w:t>
      </w:r>
    </w:p>
    <w:p w14:paraId="3551D09C" w14:textId="77777777" w:rsidR="00FE732D" w:rsidRPr="006D1DBA" w:rsidRDefault="00FE732D" w:rsidP="001B3E82">
      <w:pPr>
        <w:rPr>
          <w:rFonts w:asciiTheme="minorHAnsi" w:hAnsiTheme="minorHAnsi" w:cstheme="minorHAnsi"/>
          <w:color w:val="000000"/>
          <w:sz w:val="22"/>
          <w:szCs w:val="22"/>
        </w:rPr>
      </w:pPr>
    </w:p>
    <w:p w14:paraId="1F8B5ED5" w14:textId="3FAFA55D" w:rsidR="0008391A" w:rsidRPr="006D1DBA" w:rsidRDefault="00036B88" w:rsidP="0008391A">
      <w:pPr>
        <w:rPr>
          <w:rFonts w:ascii="Calibri" w:hAnsi="Calibri" w:cs="Calibri"/>
          <w:b/>
          <w:color w:val="000000"/>
          <w:sz w:val="22"/>
          <w:szCs w:val="22"/>
        </w:rPr>
      </w:pPr>
      <w:hyperlink r:id="rId8" w:history="1">
        <w:r w:rsidR="0008391A" w:rsidRPr="006D1DBA">
          <w:rPr>
            <w:rStyle w:val="Hyperlink"/>
            <w:rFonts w:asciiTheme="minorHAnsi" w:hAnsiTheme="minorHAnsi" w:cstheme="minorHAnsi"/>
            <w:b/>
            <w:sz w:val="22"/>
            <w:szCs w:val="22"/>
          </w:rPr>
          <w:t>AB 1907 (Santiago)</w:t>
        </w:r>
      </w:hyperlink>
      <w:r w:rsidR="0008391A" w:rsidRPr="006D1DBA">
        <w:rPr>
          <w:rFonts w:cstheme="minorHAnsi"/>
          <w:color w:val="000000"/>
          <w:sz w:val="22"/>
          <w:szCs w:val="22"/>
        </w:rPr>
        <w:t xml:space="preserve">-- </w:t>
      </w:r>
      <w:r w:rsidR="0008391A" w:rsidRPr="006D1DBA">
        <w:rPr>
          <w:rFonts w:ascii="Calibri" w:hAnsi="Calibri" w:cs="Calibri"/>
          <w:color w:val="000000"/>
          <w:sz w:val="22"/>
          <w:szCs w:val="22"/>
        </w:rPr>
        <w:t>would build on last year’s AB 1197, which applied to the City of Los Angeles, by exempting emergency shelters, supportive housing, and affordable housing for lower-income households from CEQA until January 1, 2029.</w:t>
      </w:r>
      <w:r w:rsidR="009E5D44" w:rsidRPr="006D1DBA">
        <w:rPr>
          <w:rFonts w:ascii="Calibri" w:hAnsi="Calibri" w:cs="Calibri"/>
          <w:color w:val="000000"/>
          <w:sz w:val="22"/>
          <w:szCs w:val="22"/>
        </w:rPr>
        <w:t xml:space="preserve"> 5/13/20 </w:t>
      </w:r>
      <w:r w:rsidR="00603510" w:rsidRPr="006D1DBA">
        <w:rPr>
          <w:rFonts w:ascii="Calibri" w:hAnsi="Calibri" w:cs="Calibri"/>
          <w:b/>
          <w:color w:val="000000"/>
          <w:sz w:val="22"/>
          <w:szCs w:val="22"/>
        </w:rPr>
        <w:t>UPDATE</w:t>
      </w:r>
      <w:r w:rsidR="009E5D44" w:rsidRPr="006D1DBA">
        <w:rPr>
          <w:rFonts w:ascii="Calibri" w:hAnsi="Calibri" w:cs="Calibri"/>
          <w:color w:val="000000"/>
          <w:sz w:val="22"/>
          <w:szCs w:val="22"/>
        </w:rPr>
        <w:t xml:space="preserve">: </w:t>
      </w:r>
      <w:r w:rsidR="009E5D44" w:rsidRPr="006D1DBA">
        <w:rPr>
          <w:rFonts w:ascii="Calibri" w:hAnsi="Calibri" w:cs="Calibri"/>
          <w:b/>
          <w:color w:val="000000"/>
          <w:sz w:val="22"/>
          <w:szCs w:val="22"/>
        </w:rPr>
        <w:t>AB 1907 did not make it out of the Assembly Natural Resources Committee yesterday, so is effectively dead for the year.</w:t>
      </w:r>
    </w:p>
    <w:p w14:paraId="5067C5A3" w14:textId="3815EAC9" w:rsidR="00F95FF7" w:rsidRPr="006D1DBA" w:rsidRDefault="00F95FF7" w:rsidP="0008391A">
      <w:pPr>
        <w:rPr>
          <w:rFonts w:ascii="Calibri" w:hAnsi="Calibri" w:cs="Calibri"/>
          <w:color w:val="000000"/>
          <w:sz w:val="22"/>
          <w:szCs w:val="22"/>
        </w:rPr>
      </w:pPr>
    </w:p>
    <w:p w14:paraId="3BDD026D" w14:textId="396CA2F5" w:rsidR="00F95FF7" w:rsidRPr="006D1DBA" w:rsidRDefault="00036B88" w:rsidP="0008391A">
      <w:pPr>
        <w:rPr>
          <w:rFonts w:ascii="Calibri" w:hAnsi="Calibri" w:cs="Calibri"/>
          <w:color w:val="000000"/>
          <w:sz w:val="22"/>
          <w:szCs w:val="22"/>
        </w:rPr>
      </w:pPr>
      <w:hyperlink r:id="rId9" w:history="1">
        <w:r w:rsidR="00F95FF7" w:rsidRPr="006D1DBA">
          <w:rPr>
            <w:rStyle w:val="Hyperlink"/>
            <w:rFonts w:ascii="Calibri" w:hAnsi="Calibri" w:cs="Calibri"/>
            <w:b/>
            <w:sz w:val="22"/>
            <w:szCs w:val="22"/>
          </w:rPr>
          <w:t>AB 2323</w:t>
        </w:r>
        <w:r w:rsidR="00FE732D" w:rsidRPr="006D1DBA">
          <w:rPr>
            <w:rStyle w:val="Hyperlink"/>
            <w:rFonts w:ascii="Calibri" w:hAnsi="Calibri" w:cs="Calibri"/>
            <w:b/>
            <w:sz w:val="22"/>
            <w:szCs w:val="22"/>
          </w:rPr>
          <w:t xml:space="preserve"> (Friedman)</w:t>
        </w:r>
      </w:hyperlink>
      <w:r w:rsidR="00FE732D" w:rsidRPr="006D1DBA">
        <w:rPr>
          <w:rFonts w:ascii="Calibri" w:hAnsi="Calibri" w:cs="Calibri"/>
          <w:color w:val="000000"/>
          <w:sz w:val="22"/>
          <w:szCs w:val="22"/>
        </w:rPr>
        <w:t xml:space="preserve">—Updates existing California Environmental Quality Act (CEQA) housing exemptions by: (1) permitting community plans to serve as the basis for exemption of residential, mixed-use, and employment center projects by transit, (2) permitting exemptions to be claimed on former toxic sites cleared for residential use, and (3) eliminating the exclusion of sites within the boundaries of a state conservancy from existing exemptions for affordable agricultural housing, affordable urban housing, and urban infill housing.  </w:t>
      </w:r>
    </w:p>
    <w:p w14:paraId="29DF6232" w14:textId="77777777" w:rsidR="0008391A" w:rsidRPr="006D1DBA" w:rsidRDefault="0008391A" w:rsidP="0008391A">
      <w:pPr>
        <w:rPr>
          <w:rFonts w:ascii="Calibri" w:hAnsi="Calibri" w:cs="Calibri"/>
          <w:color w:val="000000"/>
          <w:sz w:val="22"/>
          <w:szCs w:val="22"/>
        </w:rPr>
      </w:pPr>
    </w:p>
    <w:p w14:paraId="7E47FC5F" w14:textId="7C71D2BA" w:rsidR="001B3E82" w:rsidRPr="006D1DBA" w:rsidRDefault="00036B88" w:rsidP="001B3E82">
      <w:pPr>
        <w:rPr>
          <w:rFonts w:asciiTheme="minorHAnsi" w:hAnsiTheme="minorHAnsi" w:cstheme="minorHAnsi"/>
          <w:color w:val="000000"/>
          <w:sz w:val="22"/>
          <w:szCs w:val="22"/>
        </w:rPr>
      </w:pPr>
      <w:hyperlink r:id="rId10" w:history="1">
        <w:r w:rsidR="001B3E82" w:rsidRPr="006D1DBA">
          <w:rPr>
            <w:rStyle w:val="Hyperlink"/>
            <w:rFonts w:asciiTheme="minorHAnsi" w:hAnsiTheme="minorHAnsi" w:cstheme="minorHAnsi"/>
            <w:b/>
            <w:sz w:val="22"/>
            <w:szCs w:val="22"/>
          </w:rPr>
          <w:t>AB 2345 (Gonzalez)</w:t>
        </w:r>
      </w:hyperlink>
      <w:r w:rsidR="00A50CE1" w:rsidRPr="006D1DBA">
        <w:rPr>
          <w:rFonts w:asciiTheme="minorHAnsi" w:hAnsiTheme="minorHAnsi" w:cstheme="minorHAnsi"/>
          <w:color w:val="000000"/>
          <w:sz w:val="22"/>
          <w:szCs w:val="22"/>
        </w:rPr>
        <w:t xml:space="preserve">-- </w:t>
      </w:r>
      <w:r w:rsidR="001B3E82" w:rsidRPr="006D1DBA">
        <w:rPr>
          <w:rFonts w:asciiTheme="minorHAnsi" w:hAnsiTheme="minorHAnsi" w:cstheme="minorHAnsi"/>
          <w:color w:val="000000"/>
          <w:sz w:val="22"/>
          <w:szCs w:val="22"/>
        </w:rPr>
        <w:t xml:space="preserve">would expand California’s Density Bonus Law to </w:t>
      </w:r>
      <w:r w:rsidR="00763E5F" w:rsidRPr="006D1DBA">
        <w:rPr>
          <w:rFonts w:asciiTheme="minorHAnsi" w:hAnsiTheme="minorHAnsi" w:cstheme="minorHAnsi"/>
          <w:color w:val="000000"/>
          <w:sz w:val="22"/>
          <w:szCs w:val="22"/>
        </w:rPr>
        <w:t>increase</w:t>
      </w:r>
      <w:r w:rsidR="001B3E82" w:rsidRPr="006D1DBA">
        <w:rPr>
          <w:rFonts w:asciiTheme="minorHAnsi" w:hAnsiTheme="minorHAnsi" w:cstheme="minorHAnsi"/>
          <w:color w:val="000000"/>
          <w:sz w:val="22"/>
          <w:szCs w:val="22"/>
        </w:rPr>
        <w:t xml:space="preserve"> the maximum bonus to 50-percent and increas</w:t>
      </w:r>
      <w:r w:rsidR="00763E5F" w:rsidRPr="006D1DBA">
        <w:rPr>
          <w:rFonts w:asciiTheme="minorHAnsi" w:hAnsiTheme="minorHAnsi" w:cstheme="minorHAnsi"/>
          <w:color w:val="000000"/>
          <w:sz w:val="22"/>
          <w:szCs w:val="22"/>
        </w:rPr>
        <w:t>e</w:t>
      </w:r>
      <w:r w:rsidR="001B3E82" w:rsidRPr="006D1DBA">
        <w:rPr>
          <w:rFonts w:asciiTheme="minorHAnsi" w:hAnsiTheme="minorHAnsi" w:cstheme="minorHAnsi"/>
          <w:color w:val="000000"/>
          <w:sz w:val="22"/>
          <w:szCs w:val="22"/>
        </w:rPr>
        <w:t xml:space="preserve"> the maximum number of allowable incentives</w:t>
      </w:r>
      <w:r w:rsidR="00763E5F" w:rsidRPr="006D1DBA">
        <w:rPr>
          <w:rFonts w:asciiTheme="minorHAnsi" w:hAnsiTheme="minorHAnsi" w:cstheme="minorHAnsi"/>
          <w:color w:val="000000"/>
          <w:sz w:val="22"/>
          <w:szCs w:val="22"/>
        </w:rPr>
        <w:t xml:space="preserve"> consistent with enhancements </w:t>
      </w:r>
      <w:r w:rsidR="00763E5F" w:rsidRPr="006D1DBA">
        <w:rPr>
          <w:rFonts w:asciiTheme="minorHAnsi" w:hAnsiTheme="minorHAnsi" w:cstheme="minorHAnsi"/>
          <w:color w:val="000000"/>
          <w:sz w:val="22"/>
          <w:szCs w:val="22"/>
        </w:rPr>
        <w:lastRenderedPageBreak/>
        <w:t xml:space="preserve">adopted by the City of San Diego, which has </w:t>
      </w:r>
      <w:r w:rsidR="001B3E82" w:rsidRPr="006D1DBA">
        <w:rPr>
          <w:rFonts w:asciiTheme="minorHAnsi" w:hAnsiTheme="minorHAnsi" w:cstheme="minorHAnsi"/>
          <w:color w:val="000000"/>
          <w:sz w:val="22"/>
          <w:szCs w:val="22"/>
        </w:rPr>
        <w:t>resulted in substantially more applications for new affordable homes.</w:t>
      </w:r>
    </w:p>
    <w:p w14:paraId="75CF56E7" w14:textId="77777777" w:rsidR="0008391A" w:rsidRPr="006D1DBA" w:rsidRDefault="0008391A" w:rsidP="0008391A">
      <w:pPr>
        <w:rPr>
          <w:rFonts w:cstheme="minorHAnsi"/>
          <w:sz w:val="22"/>
          <w:szCs w:val="22"/>
        </w:rPr>
      </w:pPr>
    </w:p>
    <w:p w14:paraId="2E45E171" w14:textId="73B1AFA2" w:rsidR="0008391A" w:rsidRPr="006D1DBA" w:rsidRDefault="00036B88" w:rsidP="0008391A">
      <w:pPr>
        <w:rPr>
          <w:rFonts w:asciiTheme="minorHAnsi" w:hAnsiTheme="minorHAnsi" w:cstheme="minorHAnsi"/>
          <w:b/>
          <w:color w:val="333333"/>
          <w:sz w:val="22"/>
          <w:szCs w:val="22"/>
          <w:shd w:val="clear" w:color="auto" w:fill="FFFFFF"/>
        </w:rPr>
      </w:pPr>
      <w:hyperlink r:id="rId11" w:history="1">
        <w:r w:rsidR="0008391A" w:rsidRPr="006D1DBA">
          <w:rPr>
            <w:rStyle w:val="Hyperlink"/>
            <w:rFonts w:cstheme="minorHAnsi"/>
            <w:b/>
            <w:sz w:val="22"/>
            <w:szCs w:val="22"/>
          </w:rPr>
          <w:t>AB 2666 (Boerner Horvath)</w:t>
        </w:r>
      </w:hyperlink>
      <w:r w:rsidR="0008391A" w:rsidRPr="006D1DBA">
        <w:rPr>
          <w:rFonts w:cstheme="minorHAnsi"/>
          <w:b/>
          <w:sz w:val="22"/>
          <w:szCs w:val="22"/>
        </w:rPr>
        <w:t>—</w:t>
      </w:r>
      <w:r w:rsidR="0008391A" w:rsidRPr="006D1DBA">
        <w:rPr>
          <w:rFonts w:asciiTheme="minorHAnsi" w:hAnsiTheme="minorHAnsi" w:cstheme="minorHAnsi"/>
          <w:color w:val="333333"/>
          <w:sz w:val="22"/>
          <w:szCs w:val="22"/>
          <w:shd w:val="clear" w:color="auto" w:fill="FFFFFF"/>
        </w:rPr>
        <w:t xml:space="preserve"> would prohibit a local agency from imposing specified requirements on a small home lot development, including setback requirements between units, requirements on the minimum size of each small home lot development, and specified parking requirements.</w:t>
      </w:r>
      <w:r w:rsidR="002C3731" w:rsidRPr="006D1DBA">
        <w:rPr>
          <w:rFonts w:asciiTheme="minorHAnsi" w:hAnsiTheme="minorHAnsi" w:cstheme="minorHAnsi"/>
          <w:color w:val="333333"/>
          <w:sz w:val="22"/>
          <w:szCs w:val="22"/>
          <w:shd w:val="clear" w:color="auto" w:fill="FFFFFF"/>
        </w:rPr>
        <w:t xml:space="preserve"> </w:t>
      </w:r>
      <w:r w:rsidR="002C3731" w:rsidRPr="006D1DBA">
        <w:rPr>
          <w:rFonts w:asciiTheme="minorHAnsi" w:hAnsiTheme="minorHAnsi" w:cstheme="minorHAnsi"/>
          <w:b/>
          <w:color w:val="333333"/>
          <w:sz w:val="22"/>
          <w:szCs w:val="22"/>
          <w:shd w:val="clear" w:color="auto" w:fill="FFFFFF"/>
        </w:rPr>
        <w:t>UPDATE: AB 2666 is not moving forward this year.</w:t>
      </w:r>
    </w:p>
    <w:p w14:paraId="02ABBE2F" w14:textId="77777777" w:rsidR="00F95FF7" w:rsidRPr="006D1DBA" w:rsidRDefault="00F95FF7" w:rsidP="0008391A">
      <w:pPr>
        <w:rPr>
          <w:rFonts w:asciiTheme="minorHAnsi" w:hAnsiTheme="minorHAnsi" w:cstheme="minorHAnsi"/>
          <w:b/>
          <w:color w:val="333333"/>
          <w:sz w:val="22"/>
          <w:szCs w:val="22"/>
          <w:shd w:val="clear" w:color="auto" w:fill="FFFFFF"/>
        </w:rPr>
      </w:pPr>
    </w:p>
    <w:p w14:paraId="610958A8" w14:textId="56DDAF65" w:rsidR="00A50CE1" w:rsidRPr="006D1DBA" w:rsidRDefault="00036B88" w:rsidP="001B3E82">
      <w:pPr>
        <w:rPr>
          <w:rFonts w:asciiTheme="minorHAnsi" w:hAnsiTheme="minorHAnsi" w:cstheme="minorHAnsi"/>
          <w:sz w:val="22"/>
          <w:szCs w:val="22"/>
        </w:rPr>
      </w:pPr>
      <w:hyperlink r:id="rId12" w:history="1">
        <w:r w:rsidR="00F95FF7" w:rsidRPr="006D1DBA">
          <w:rPr>
            <w:rStyle w:val="Hyperlink"/>
            <w:rFonts w:asciiTheme="minorHAnsi" w:hAnsiTheme="minorHAnsi" w:cstheme="minorHAnsi"/>
            <w:b/>
            <w:sz w:val="22"/>
            <w:szCs w:val="22"/>
          </w:rPr>
          <w:t>AB 3040 (Chiu)</w:t>
        </w:r>
      </w:hyperlink>
      <w:r w:rsidR="00F95FF7" w:rsidRPr="006D1DBA">
        <w:rPr>
          <w:rFonts w:asciiTheme="minorHAnsi" w:hAnsiTheme="minorHAnsi" w:cstheme="minorHAnsi"/>
          <w:b/>
          <w:sz w:val="22"/>
          <w:szCs w:val="22"/>
        </w:rPr>
        <w:t>—</w:t>
      </w:r>
      <w:r w:rsidR="00F95FF7" w:rsidRPr="006D1DBA">
        <w:rPr>
          <w:rFonts w:asciiTheme="minorHAnsi" w:hAnsiTheme="minorHAnsi" w:cstheme="minorHAnsi"/>
          <w:sz w:val="22"/>
          <w:szCs w:val="22"/>
        </w:rPr>
        <w:t xml:space="preserve">would make it easier for cities and counties to receive credit towards their above moderate income and moderate-income regional housing needs allocation when they </w:t>
      </w:r>
      <w:proofErr w:type="spellStart"/>
      <w:r w:rsidR="00F95FF7" w:rsidRPr="006D1DBA">
        <w:rPr>
          <w:rFonts w:asciiTheme="minorHAnsi" w:hAnsiTheme="minorHAnsi" w:cstheme="minorHAnsi"/>
          <w:sz w:val="22"/>
          <w:szCs w:val="22"/>
        </w:rPr>
        <w:t>upzone</w:t>
      </w:r>
      <w:proofErr w:type="spellEnd"/>
      <w:r w:rsidR="00F95FF7" w:rsidRPr="006D1DBA">
        <w:rPr>
          <w:rFonts w:asciiTheme="minorHAnsi" w:hAnsiTheme="minorHAnsi" w:cstheme="minorHAnsi"/>
          <w:sz w:val="22"/>
          <w:szCs w:val="22"/>
        </w:rPr>
        <w:t xml:space="preserve"> single family housing zones to allow up to four homes.  By specifying the credit at .1 units per site, the bill provides certainty to jurisdictions that would otherwise need to provide ample evidence to the State Department of Housing and Community Development that such development on non-vacant sites would occur.</w:t>
      </w:r>
    </w:p>
    <w:p w14:paraId="0F88056C" w14:textId="77777777" w:rsidR="00F95FF7" w:rsidRPr="006D1DBA" w:rsidRDefault="00F95FF7" w:rsidP="001B3E82">
      <w:pPr>
        <w:rPr>
          <w:rFonts w:asciiTheme="minorHAnsi" w:hAnsiTheme="minorHAnsi" w:cstheme="minorHAnsi"/>
          <w:sz w:val="22"/>
          <w:szCs w:val="22"/>
        </w:rPr>
      </w:pPr>
    </w:p>
    <w:p w14:paraId="430D3D39" w14:textId="7A9A9496" w:rsidR="0008391A" w:rsidRPr="006D1DBA" w:rsidRDefault="00036B88" w:rsidP="0008391A">
      <w:pPr>
        <w:ind w:right="115"/>
        <w:rPr>
          <w:rFonts w:asciiTheme="minorHAnsi" w:hAnsiTheme="minorHAnsi" w:cstheme="minorHAnsi"/>
          <w:color w:val="000000"/>
          <w:sz w:val="22"/>
          <w:szCs w:val="22"/>
        </w:rPr>
      </w:pPr>
      <w:hyperlink r:id="rId13" w:history="1">
        <w:r w:rsidR="0008391A" w:rsidRPr="006D1DBA">
          <w:rPr>
            <w:rStyle w:val="Hyperlink"/>
            <w:rFonts w:asciiTheme="minorHAnsi" w:hAnsiTheme="minorHAnsi" w:cstheme="minorHAnsi"/>
            <w:b/>
            <w:sz w:val="22"/>
            <w:szCs w:val="22"/>
          </w:rPr>
          <w:t>AB 3107 (Bloom</w:t>
        </w:r>
        <w:r w:rsidR="0008391A" w:rsidRPr="006D1DBA">
          <w:rPr>
            <w:rStyle w:val="Hyperlink"/>
            <w:b/>
            <w:sz w:val="22"/>
            <w:szCs w:val="22"/>
          </w:rPr>
          <w:t>)</w:t>
        </w:r>
      </w:hyperlink>
      <w:r w:rsidR="0008391A" w:rsidRPr="006D1DBA">
        <w:rPr>
          <w:b/>
          <w:sz w:val="22"/>
          <w:szCs w:val="22"/>
        </w:rPr>
        <w:t>—</w:t>
      </w:r>
      <w:r w:rsidR="0008391A" w:rsidRPr="006D1DBA">
        <w:rPr>
          <w:rFonts w:asciiTheme="minorHAnsi" w:hAnsiTheme="minorHAnsi" w:cstheme="minorHAnsi"/>
          <w:color w:val="000000"/>
          <w:sz w:val="22"/>
          <w:szCs w:val="22"/>
        </w:rPr>
        <w:t>would allow housing developments with at least 20% of units set aside for lower-income households to be built on any site designated for commercial use.</w:t>
      </w:r>
    </w:p>
    <w:p w14:paraId="6DF285C0" w14:textId="77777777" w:rsidR="0008391A" w:rsidRPr="006D1DBA" w:rsidRDefault="0008391A" w:rsidP="0008391A">
      <w:pPr>
        <w:ind w:right="115"/>
        <w:rPr>
          <w:rFonts w:asciiTheme="minorHAnsi" w:hAnsiTheme="minorHAnsi" w:cstheme="minorHAnsi"/>
          <w:color w:val="000000"/>
          <w:sz w:val="22"/>
          <w:szCs w:val="22"/>
        </w:rPr>
      </w:pPr>
    </w:p>
    <w:p w14:paraId="0C0212FC" w14:textId="7FA91D2F" w:rsidR="0008391A" w:rsidRPr="006D1DBA" w:rsidRDefault="00036B88" w:rsidP="0008391A">
      <w:pPr>
        <w:ind w:right="115"/>
        <w:rPr>
          <w:rFonts w:asciiTheme="minorHAnsi" w:hAnsiTheme="minorHAnsi" w:cstheme="minorHAnsi"/>
          <w:b/>
          <w:color w:val="000000"/>
          <w:sz w:val="22"/>
          <w:szCs w:val="22"/>
        </w:rPr>
      </w:pPr>
      <w:hyperlink r:id="rId14" w:history="1">
        <w:r w:rsidR="0008391A" w:rsidRPr="006D1DBA">
          <w:rPr>
            <w:rStyle w:val="Hyperlink"/>
            <w:rFonts w:asciiTheme="minorHAnsi" w:hAnsiTheme="minorHAnsi" w:cstheme="minorHAnsi"/>
            <w:b/>
            <w:sz w:val="22"/>
            <w:szCs w:val="22"/>
          </w:rPr>
          <w:t>AB 3155 (Rivas)</w:t>
        </w:r>
      </w:hyperlink>
      <w:r w:rsidR="0008391A" w:rsidRPr="006D1DBA">
        <w:rPr>
          <w:rFonts w:asciiTheme="minorHAnsi" w:hAnsiTheme="minorHAnsi" w:cstheme="minorHAnsi"/>
          <w:b/>
          <w:color w:val="000000"/>
          <w:sz w:val="22"/>
          <w:szCs w:val="22"/>
        </w:rPr>
        <w:t>—</w:t>
      </w:r>
      <w:r w:rsidR="0008391A" w:rsidRPr="006D1DBA">
        <w:rPr>
          <w:rFonts w:asciiTheme="minorHAnsi" w:hAnsiTheme="minorHAnsi" w:cstheme="minorHAnsi"/>
          <w:color w:val="000000"/>
          <w:sz w:val="22"/>
          <w:szCs w:val="22"/>
        </w:rPr>
        <w:t>would encourage and expedite the production of housing development projects of ten units or less by leveraging provisions within SB 35 and allowing these small development projects to begin construction with a Tentative Map, along with other provisions.</w:t>
      </w:r>
      <w:r w:rsidR="002C3731" w:rsidRPr="006D1DBA">
        <w:rPr>
          <w:rFonts w:asciiTheme="minorHAnsi" w:hAnsiTheme="minorHAnsi" w:cstheme="minorHAnsi"/>
          <w:color w:val="000000"/>
          <w:sz w:val="22"/>
          <w:szCs w:val="22"/>
        </w:rPr>
        <w:t xml:space="preserve"> </w:t>
      </w:r>
      <w:r w:rsidR="002C3731" w:rsidRPr="006D1DBA">
        <w:rPr>
          <w:rFonts w:asciiTheme="minorHAnsi" w:hAnsiTheme="minorHAnsi" w:cstheme="minorHAnsi"/>
          <w:b/>
          <w:color w:val="000000"/>
          <w:sz w:val="22"/>
          <w:szCs w:val="22"/>
        </w:rPr>
        <w:t>Update: AB 3155 is not moving forward this year, but will live to see another day.</w:t>
      </w:r>
    </w:p>
    <w:p w14:paraId="5B81D89C" w14:textId="77777777" w:rsidR="0008391A" w:rsidRPr="006D1DBA" w:rsidRDefault="0008391A" w:rsidP="0008391A">
      <w:pPr>
        <w:ind w:right="115"/>
        <w:rPr>
          <w:rFonts w:asciiTheme="minorHAnsi" w:hAnsiTheme="minorHAnsi" w:cstheme="minorHAnsi"/>
          <w:color w:val="000000"/>
          <w:sz w:val="22"/>
          <w:szCs w:val="22"/>
        </w:rPr>
      </w:pPr>
    </w:p>
    <w:p w14:paraId="7CF243B2" w14:textId="2A1A0CD6" w:rsidR="0008391A" w:rsidRPr="006D1DBA" w:rsidRDefault="00036B88" w:rsidP="0008391A">
      <w:pPr>
        <w:rPr>
          <w:rFonts w:cstheme="minorHAnsi"/>
          <w:b/>
          <w:sz w:val="22"/>
          <w:szCs w:val="22"/>
        </w:rPr>
      </w:pPr>
      <w:hyperlink r:id="rId15" w:history="1">
        <w:r w:rsidR="0008391A" w:rsidRPr="006D1DBA">
          <w:rPr>
            <w:rStyle w:val="Hyperlink"/>
            <w:rFonts w:asciiTheme="minorHAnsi" w:hAnsiTheme="minorHAnsi" w:cstheme="minorHAnsi"/>
            <w:b/>
            <w:sz w:val="22"/>
            <w:szCs w:val="22"/>
          </w:rPr>
          <w:t>AB 3234 (Gloria</w:t>
        </w:r>
        <w:r w:rsidR="0008391A" w:rsidRPr="006D1DBA">
          <w:rPr>
            <w:rStyle w:val="Hyperlink"/>
            <w:rFonts w:asciiTheme="minorHAnsi" w:hAnsiTheme="minorHAnsi" w:cstheme="minorHAnsi"/>
            <w:sz w:val="22"/>
            <w:szCs w:val="22"/>
          </w:rPr>
          <w:t>)</w:t>
        </w:r>
      </w:hyperlink>
      <w:r w:rsidR="0008391A" w:rsidRPr="006D1DBA">
        <w:rPr>
          <w:rFonts w:cstheme="minorHAnsi"/>
          <w:b/>
          <w:sz w:val="22"/>
          <w:szCs w:val="22"/>
        </w:rPr>
        <w:t>—</w:t>
      </w:r>
      <w:r w:rsidR="0008391A" w:rsidRPr="00623AC3">
        <w:rPr>
          <w:rFonts w:asciiTheme="minorHAnsi" w:hAnsiTheme="minorHAnsi" w:cstheme="minorHAnsi"/>
          <w:sz w:val="22"/>
          <w:szCs w:val="22"/>
        </w:rPr>
        <w:t xml:space="preserve">would make changes to the Subdivision Map Act to eliminate the requirement for a tentative or final map for the development of a small lot subdivision, as defined by the Housing Accountability Act, if it meets specified criteria. </w:t>
      </w:r>
      <w:r w:rsidR="002C3731" w:rsidRPr="00623AC3">
        <w:rPr>
          <w:rFonts w:asciiTheme="minorHAnsi" w:hAnsiTheme="minorHAnsi" w:cstheme="minorHAnsi"/>
          <w:b/>
          <w:sz w:val="22"/>
          <w:szCs w:val="22"/>
        </w:rPr>
        <w:t>Update: AB 3234 is not moving forward this year.</w:t>
      </w:r>
      <w:r w:rsidR="002C3731" w:rsidRPr="006D1DBA">
        <w:rPr>
          <w:rFonts w:cstheme="minorHAnsi"/>
          <w:b/>
          <w:sz w:val="22"/>
          <w:szCs w:val="22"/>
        </w:rPr>
        <w:t xml:space="preserve"> </w:t>
      </w:r>
    </w:p>
    <w:p w14:paraId="446B4209" w14:textId="61D13A5E" w:rsidR="00F95FF7" w:rsidRPr="006D1DBA" w:rsidRDefault="00F95FF7" w:rsidP="0008391A">
      <w:pPr>
        <w:rPr>
          <w:rFonts w:cstheme="minorHAnsi"/>
          <w:b/>
          <w:sz w:val="22"/>
          <w:szCs w:val="22"/>
        </w:rPr>
      </w:pPr>
    </w:p>
    <w:p w14:paraId="32B925F4" w14:textId="18DEFD6F" w:rsidR="00F95FF7" w:rsidRPr="006D1DBA" w:rsidRDefault="00036B88" w:rsidP="0008391A">
      <w:pPr>
        <w:rPr>
          <w:rFonts w:cstheme="minorHAnsi"/>
          <w:sz w:val="22"/>
          <w:szCs w:val="22"/>
        </w:rPr>
      </w:pPr>
      <w:hyperlink r:id="rId16" w:history="1">
        <w:r w:rsidR="00F95FF7" w:rsidRPr="006D1DBA">
          <w:rPr>
            <w:rStyle w:val="Hyperlink"/>
            <w:rFonts w:asciiTheme="minorHAnsi" w:hAnsiTheme="minorHAnsi" w:cstheme="minorHAnsi"/>
            <w:b/>
            <w:sz w:val="22"/>
            <w:szCs w:val="22"/>
          </w:rPr>
          <w:t>AB 3279 (Friedman)</w:t>
        </w:r>
      </w:hyperlink>
      <w:r w:rsidR="00F95FF7" w:rsidRPr="006D1DBA">
        <w:rPr>
          <w:rFonts w:asciiTheme="minorHAnsi" w:hAnsiTheme="minorHAnsi" w:cstheme="minorHAnsi"/>
          <w:b/>
          <w:sz w:val="22"/>
          <w:szCs w:val="22"/>
        </w:rPr>
        <w:t xml:space="preserve"> </w:t>
      </w:r>
      <w:r w:rsidR="00F95FF7" w:rsidRPr="00623AC3">
        <w:rPr>
          <w:rFonts w:asciiTheme="minorHAnsi" w:hAnsiTheme="minorHAnsi" w:cstheme="minorHAnsi"/>
          <w:b/>
          <w:sz w:val="22"/>
          <w:szCs w:val="22"/>
        </w:rPr>
        <w:t>—</w:t>
      </w:r>
      <w:r w:rsidR="00F95FF7" w:rsidRPr="00623AC3">
        <w:rPr>
          <w:rFonts w:asciiTheme="minorHAnsi" w:hAnsiTheme="minorHAnsi" w:cstheme="minorHAnsi"/>
          <w:sz w:val="22"/>
          <w:szCs w:val="22"/>
        </w:rPr>
        <w:t>would revise California Environmental Quality Act (CEQA) litigation procedures by (1) reducing the deadline for a court to commence hearings from one year to 270 days, (2) providing that a lead agency may decide whether a plaintiff prepares the administrative record, and (3) authorizing a court to issue an interlocutory remand.</w:t>
      </w:r>
      <w:r w:rsidR="00F95FF7" w:rsidRPr="006D1DBA">
        <w:rPr>
          <w:rFonts w:cstheme="minorHAnsi"/>
          <w:sz w:val="22"/>
          <w:szCs w:val="22"/>
        </w:rPr>
        <w:t xml:space="preserve"> </w:t>
      </w:r>
    </w:p>
    <w:p w14:paraId="7A855413" w14:textId="77777777" w:rsidR="00676832" w:rsidRPr="006D1DBA" w:rsidRDefault="00676832" w:rsidP="00676832">
      <w:pPr>
        <w:ind w:right="115"/>
        <w:rPr>
          <w:rFonts w:asciiTheme="minorHAnsi" w:hAnsiTheme="minorHAnsi" w:cstheme="minorHAnsi"/>
          <w:b/>
          <w:color w:val="000000"/>
          <w:sz w:val="22"/>
          <w:szCs w:val="22"/>
        </w:rPr>
      </w:pPr>
    </w:p>
    <w:p w14:paraId="67F76618" w14:textId="102C3775" w:rsidR="00676832" w:rsidRPr="006D1DBA" w:rsidRDefault="00036B88" w:rsidP="00676832">
      <w:pPr>
        <w:ind w:right="115"/>
        <w:rPr>
          <w:rFonts w:asciiTheme="minorHAnsi" w:hAnsiTheme="minorHAnsi" w:cstheme="minorHAnsi"/>
          <w:color w:val="000000"/>
          <w:sz w:val="22"/>
          <w:szCs w:val="22"/>
        </w:rPr>
      </w:pPr>
      <w:hyperlink r:id="rId17" w:history="1">
        <w:r w:rsidR="00676832" w:rsidRPr="006D1DBA">
          <w:rPr>
            <w:rStyle w:val="Hyperlink"/>
            <w:rFonts w:asciiTheme="minorHAnsi" w:hAnsiTheme="minorHAnsi" w:cstheme="minorHAnsi"/>
            <w:b/>
            <w:sz w:val="22"/>
            <w:szCs w:val="22"/>
          </w:rPr>
          <w:t>SB 899 (Wiener)</w:t>
        </w:r>
      </w:hyperlink>
      <w:r w:rsidR="00676832" w:rsidRPr="006D1DBA">
        <w:rPr>
          <w:rFonts w:asciiTheme="minorHAnsi" w:hAnsiTheme="minorHAnsi" w:cstheme="minorHAnsi"/>
          <w:b/>
          <w:color w:val="000000"/>
          <w:sz w:val="22"/>
          <w:szCs w:val="22"/>
        </w:rPr>
        <w:t>—</w:t>
      </w:r>
      <w:r w:rsidR="00676832" w:rsidRPr="006D1DBA">
        <w:rPr>
          <w:rFonts w:asciiTheme="minorHAnsi" w:hAnsiTheme="minorHAnsi" w:cstheme="minorHAnsi"/>
          <w:color w:val="000000"/>
          <w:sz w:val="22"/>
          <w:szCs w:val="22"/>
        </w:rPr>
        <w:t>would, streamline the development process for faith-based organizations and nonprofit hospitals to enable them to build 100% multi-family affordable housing developments (targeted at 80% of Area Median Income and below) regardless of local zoning restrictions.</w:t>
      </w:r>
    </w:p>
    <w:p w14:paraId="61297F11" w14:textId="0FFC91B6" w:rsidR="00676832" w:rsidRPr="006D1DBA" w:rsidRDefault="00676832" w:rsidP="00676832">
      <w:pPr>
        <w:ind w:right="115"/>
        <w:rPr>
          <w:rFonts w:asciiTheme="minorHAnsi" w:hAnsiTheme="minorHAnsi" w:cstheme="minorHAnsi"/>
          <w:color w:val="000000"/>
          <w:sz w:val="22"/>
          <w:szCs w:val="22"/>
        </w:rPr>
      </w:pPr>
    </w:p>
    <w:p w14:paraId="1A281056" w14:textId="58A9E168" w:rsidR="00676832" w:rsidRPr="006D1DBA" w:rsidRDefault="00036B88" w:rsidP="00676832">
      <w:pPr>
        <w:ind w:right="115"/>
        <w:rPr>
          <w:rFonts w:asciiTheme="minorHAnsi" w:hAnsiTheme="minorHAnsi" w:cstheme="minorHAnsi"/>
          <w:color w:val="000000"/>
          <w:sz w:val="22"/>
          <w:szCs w:val="22"/>
        </w:rPr>
      </w:pPr>
      <w:hyperlink r:id="rId18" w:history="1">
        <w:r w:rsidR="00676832" w:rsidRPr="006D1DBA">
          <w:rPr>
            <w:rStyle w:val="Hyperlink"/>
            <w:rFonts w:asciiTheme="minorHAnsi" w:hAnsiTheme="minorHAnsi" w:cstheme="minorHAnsi"/>
            <w:b/>
            <w:sz w:val="22"/>
            <w:szCs w:val="22"/>
          </w:rPr>
          <w:t>SB 902 (Wiener)</w:t>
        </w:r>
      </w:hyperlink>
      <w:r w:rsidR="00676832" w:rsidRPr="006D1DBA">
        <w:rPr>
          <w:rFonts w:asciiTheme="minorHAnsi" w:hAnsiTheme="minorHAnsi" w:cstheme="minorHAnsi"/>
          <w:b/>
          <w:color w:val="000000"/>
          <w:sz w:val="22"/>
          <w:szCs w:val="22"/>
        </w:rPr>
        <w:t>—</w:t>
      </w:r>
      <w:r w:rsidR="00676832" w:rsidRPr="006D1DBA">
        <w:rPr>
          <w:rFonts w:asciiTheme="minorHAnsi" w:hAnsiTheme="minorHAnsi" w:cstheme="minorHAnsi"/>
          <w:color w:val="000000"/>
          <w:sz w:val="22"/>
          <w:szCs w:val="22"/>
        </w:rPr>
        <w:t>Would allow the development of duplexes, triplexes, and fourplexes by right in single-family neighborhoods, superseding local zoning rules that have traditionally limited density. Additionally, the bill will provide incentives for larger cities that are willing to allow ten-unit developments, providing they are near high quality public transportation or are in a job-rich area.</w:t>
      </w:r>
    </w:p>
    <w:p w14:paraId="083943A1" w14:textId="59B880F4" w:rsidR="00F22A03" w:rsidRPr="006D1DBA" w:rsidRDefault="00F22A03" w:rsidP="00676832">
      <w:pPr>
        <w:ind w:right="115"/>
        <w:rPr>
          <w:rFonts w:asciiTheme="minorHAnsi" w:hAnsiTheme="minorHAnsi" w:cstheme="minorHAnsi"/>
          <w:b/>
          <w:color w:val="000000"/>
          <w:sz w:val="22"/>
          <w:szCs w:val="22"/>
        </w:rPr>
      </w:pPr>
    </w:p>
    <w:p w14:paraId="3039876B" w14:textId="62D3C426" w:rsidR="00F95FF7" w:rsidRPr="006D1DBA" w:rsidRDefault="00036B88" w:rsidP="00676832">
      <w:pPr>
        <w:ind w:right="115"/>
        <w:rPr>
          <w:rFonts w:asciiTheme="minorHAnsi" w:hAnsiTheme="minorHAnsi" w:cstheme="minorHAnsi"/>
          <w:color w:val="000000"/>
          <w:sz w:val="22"/>
          <w:szCs w:val="22"/>
        </w:rPr>
      </w:pPr>
      <w:hyperlink r:id="rId19" w:history="1">
        <w:r w:rsidR="00F95FF7" w:rsidRPr="006D1DBA">
          <w:rPr>
            <w:rStyle w:val="Hyperlink"/>
            <w:rFonts w:asciiTheme="minorHAnsi" w:hAnsiTheme="minorHAnsi" w:cstheme="minorHAnsi"/>
            <w:b/>
            <w:sz w:val="22"/>
            <w:szCs w:val="22"/>
          </w:rPr>
          <w:t>SB 995</w:t>
        </w:r>
        <w:r w:rsidR="00FE732D" w:rsidRPr="006D1DBA">
          <w:rPr>
            <w:rStyle w:val="Hyperlink"/>
            <w:rFonts w:asciiTheme="minorHAnsi" w:hAnsiTheme="minorHAnsi" w:cstheme="minorHAnsi"/>
            <w:b/>
            <w:sz w:val="22"/>
            <w:szCs w:val="22"/>
          </w:rPr>
          <w:t xml:space="preserve"> (Atkins)</w:t>
        </w:r>
      </w:hyperlink>
      <w:r w:rsidR="00FE732D" w:rsidRPr="006D1DBA">
        <w:rPr>
          <w:rFonts w:asciiTheme="minorHAnsi" w:hAnsiTheme="minorHAnsi" w:cstheme="minorHAnsi"/>
          <w:color w:val="000000"/>
          <w:sz w:val="22"/>
          <w:szCs w:val="22"/>
        </w:rPr>
        <w:t>—Would add affordable housing to the list of projects that can qualify for AB 900 certification as long as it is located on an infill site, is consistent with a sustainable communities strategy or alternative planning strategy, have at least 15% affordability, and result in a minimum of $15 million in investment. (Note: AB 900 was a 2011 law that established procedures for the environmental review of various residential, retail, commercial, sports, cultural, entertainment, or recreational use projects known as Environmental Leadership Development Projects).</w:t>
      </w:r>
    </w:p>
    <w:p w14:paraId="0F4ABB8E" w14:textId="77777777" w:rsidR="00676832" w:rsidRPr="006D1DBA" w:rsidRDefault="00676832" w:rsidP="00F95FF7">
      <w:pPr>
        <w:kinsoku w:val="0"/>
        <w:overflowPunct w:val="0"/>
        <w:adjustRightInd w:val="0"/>
        <w:rPr>
          <w:rFonts w:asciiTheme="minorHAnsi" w:eastAsiaTheme="minorHAnsi" w:hAnsiTheme="minorHAnsi" w:cstheme="minorHAnsi"/>
          <w:sz w:val="22"/>
          <w:szCs w:val="22"/>
        </w:rPr>
      </w:pPr>
    </w:p>
    <w:p w14:paraId="410A01D0" w14:textId="4E550780" w:rsidR="00676832" w:rsidRPr="006D1DBA" w:rsidRDefault="00036B88" w:rsidP="00676832">
      <w:pPr>
        <w:pStyle w:val="Default"/>
        <w:rPr>
          <w:rFonts w:asciiTheme="minorHAnsi" w:hAnsiTheme="minorHAnsi" w:cstheme="minorHAnsi"/>
          <w:sz w:val="22"/>
          <w:szCs w:val="22"/>
        </w:rPr>
      </w:pPr>
      <w:hyperlink r:id="rId20" w:history="1">
        <w:r w:rsidR="00676832" w:rsidRPr="006D1DBA">
          <w:rPr>
            <w:rStyle w:val="Hyperlink"/>
            <w:rFonts w:asciiTheme="minorHAnsi" w:hAnsiTheme="minorHAnsi" w:cstheme="minorHAnsi"/>
            <w:b/>
            <w:sz w:val="22"/>
            <w:szCs w:val="22"/>
          </w:rPr>
          <w:t>SB 1085 (Skinner)</w:t>
        </w:r>
      </w:hyperlink>
      <w:r w:rsidR="00676832" w:rsidRPr="006D1DBA">
        <w:rPr>
          <w:rFonts w:asciiTheme="minorHAnsi" w:hAnsiTheme="minorHAnsi" w:cstheme="minorHAnsi"/>
          <w:b/>
          <w:sz w:val="22"/>
          <w:szCs w:val="22"/>
        </w:rPr>
        <w:t>—</w:t>
      </w:r>
      <w:r w:rsidR="00676832" w:rsidRPr="006D1DBA">
        <w:rPr>
          <w:rFonts w:asciiTheme="minorHAnsi" w:hAnsiTheme="minorHAnsi" w:cstheme="minorHAnsi"/>
          <w:sz w:val="22"/>
          <w:szCs w:val="22"/>
        </w:rPr>
        <w:t xml:space="preserve">Would address concerns with the State’s Density Bonus Law that have proven to be a barrier to the development of affordable housing.  </w:t>
      </w:r>
    </w:p>
    <w:p w14:paraId="2F0D8DF2" w14:textId="77777777" w:rsidR="00FE732D" w:rsidRPr="006D1DBA" w:rsidRDefault="00FE732D" w:rsidP="00676832">
      <w:pPr>
        <w:pStyle w:val="Default"/>
        <w:rPr>
          <w:rFonts w:asciiTheme="minorHAnsi" w:hAnsiTheme="minorHAnsi" w:cstheme="minorHAnsi"/>
          <w:b/>
          <w:sz w:val="22"/>
          <w:szCs w:val="22"/>
        </w:rPr>
      </w:pPr>
    </w:p>
    <w:p w14:paraId="700BB65A" w14:textId="14D5EACC" w:rsidR="00F95FF7" w:rsidRPr="006D1DBA" w:rsidRDefault="00036B88" w:rsidP="00F95FF7">
      <w:pPr>
        <w:ind w:right="115"/>
        <w:rPr>
          <w:rFonts w:asciiTheme="minorHAnsi" w:hAnsiTheme="minorHAnsi" w:cstheme="minorHAnsi"/>
          <w:color w:val="000000"/>
          <w:sz w:val="22"/>
          <w:szCs w:val="22"/>
        </w:rPr>
      </w:pPr>
      <w:hyperlink r:id="rId21" w:history="1">
        <w:r w:rsidR="00F95FF7" w:rsidRPr="006D1DBA">
          <w:rPr>
            <w:rStyle w:val="Hyperlink"/>
            <w:rFonts w:asciiTheme="minorHAnsi" w:hAnsiTheme="minorHAnsi" w:cstheme="minorHAnsi"/>
            <w:b/>
            <w:sz w:val="22"/>
            <w:szCs w:val="22"/>
          </w:rPr>
          <w:t>SB 1120 (Atkins)</w:t>
        </w:r>
      </w:hyperlink>
      <w:r w:rsidR="00F95FF7" w:rsidRPr="006D1DBA">
        <w:rPr>
          <w:rFonts w:asciiTheme="minorHAnsi" w:hAnsiTheme="minorHAnsi" w:cstheme="minorHAnsi"/>
          <w:color w:val="000000"/>
          <w:sz w:val="22"/>
          <w:szCs w:val="22"/>
        </w:rPr>
        <w:t>—Requires cities and counties to provide for the ministerial consideration of a proposed housing development containing two residential units (a duplex) and ministerial approval of a parcel map dividing a lot into two equal parts for residential use (an urban lot split).</w:t>
      </w:r>
    </w:p>
    <w:p w14:paraId="042AEC2B" w14:textId="7DB2E97C" w:rsidR="00F22A03" w:rsidRPr="006D1DBA" w:rsidRDefault="00F22A03" w:rsidP="00676832">
      <w:pPr>
        <w:pStyle w:val="Default"/>
        <w:rPr>
          <w:rFonts w:asciiTheme="minorHAnsi" w:hAnsiTheme="minorHAnsi" w:cstheme="minorHAnsi"/>
          <w:b/>
          <w:sz w:val="22"/>
          <w:szCs w:val="22"/>
        </w:rPr>
      </w:pPr>
    </w:p>
    <w:p w14:paraId="53B43F45" w14:textId="1BA5D7F4" w:rsidR="00F22A03" w:rsidRPr="006D1DBA" w:rsidRDefault="00036B88" w:rsidP="00676832">
      <w:pPr>
        <w:pStyle w:val="Default"/>
        <w:rPr>
          <w:rFonts w:asciiTheme="minorHAnsi" w:hAnsiTheme="minorHAnsi" w:cstheme="minorHAnsi"/>
          <w:sz w:val="22"/>
          <w:szCs w:val="22"/>
        </w:rPr>
      </w:pPr>
      <w:hyperlink r:id="rId22" w:history="1">
        <w:r w:rsidR="00F22A03" w:rsidRPr="006D1DBA">
          <w:rPr>
            <w:rStyle w:val="Hyperlink"/>
            <w:rFonts w:asciiTheme="minorHAnsi" w:hAnsiTheme="minorHAnsi" w:cstheme="minorHAnsi"/>
            <w:b/>
            <w:sz w:val="22"/>
            <w:szCs w:val="22"/>
          </w:rPr>
          <w:t>SB 1385 (Caballero)</w:t>
        </w:r>
      </w:hyperlink>
      <w:r w:rsidR="00F22A03" w:rsidRPr="006D1DBA">
        <w:rPr>
          <w:rFonts w:asciiTheme="minorHAnsi" w:hAnsiTheme="minorHAnsi" w:cstheme="minorHAnsi"/>
          <w:sz w:val="22"/>
          <w:szCs w:val="22"/>
        </w:rPr>
        <w:t xml:space="preserve">—Enacts the “Neighborhood Homes Act,” which establishes a housing development project as an authorized use on a parcel currently zoned for office or retail commercial use. </w:t>
      </w:r>
      <w:r w:rsidR="00F95FF7" w:rsidRPr="006D1DBA">
        <w:rPr>
          <w:rFonts w:asciiTheme="minorHAnsi" w:hAnsiTheme="minorHAnsi" w:cstheme="minorHAnsi"/>
          <w:sz w:val="22"/>
          <w:szCs w:val="22"/>
        </w:rPr>
        <w:t>Projects would also be eligible for SB 35 streamlining.</w:t>
      </w:r>
    </w:p>
    <w:p w14:paraId="1D1E2652" w14:textId="50990AB5" w:rsidR="00A50CE1" w:rsidRPr="006D1DBA" w:rsidRDefault="00A50CE1" w:rsidP="00A50CE1">
      <w:pPr>
        <w:rPr>
          <w:color w:val="000000"/>
          <w:sz w:val="22"/>
          <w:szCs w:val="22"/>
        </w:rPr>
      </w:pPr>
    </w:p>
    <w:p w14:paraId="1A3C8F88" w14:textId="1BEF36B2" w:rsidR="00676832" w:rsidRPr="006D1DBA" w:rsidRDefault="00676832" w:rsidP="00A50CE1">
      <w:pPr>
        <w:rPr>
          <w:rFonts w:asciiTheme="minorHAnsi" w:hAnsiTheme="minorHAnsi" w:cstheme="minorHAnsi"/>
          <w:b/>
          <w:color w:val="000000"/>
          <w:sz w:val="22"/>
          <w:szCs w:val="22"/>
          <w:u w:val="single"/>
        </w:rPr>
      </w:pPr>
      <w:r w:rsidRPr="006D1DBA">
        <w:rPr>
          <w:rFonts w:asciiTheme="minorHAnsi" w:hAnsiTheme="minorHAnsi" w:cstheme="minorHAnsi"/>
          <w:b/>
          <w:color w:val="000000"/>
          <w:sz w:val="22"/>
          <w:szCs w:val="22"/>
          <w:u w:val="single"/>
        </w:rPr>
        <w:t>Preservation</w:t>
      </w:r>
    </w:p>
    <w:p w14:paraId="431209AE" w14:textId="77777777" w:rsidR="00676832" w:rsidRPr="006D1DBA" w:rsidRDefault="00676832" w:rsidP="00A50CE1">
      <w:pPr>
        <w:rPr>
          <w:color w:val="000000"/>
          <w:sz w:val="22"/>
          <w:szCs w:val="22"/>
        </w:rPr>
      </w:pPr>
    </w:p>
    <w:p w14:paraId="43AF0533" w14:textId="23BBA908" w:rsidR="001B3E82" w:rsidRPr="006D1DBA" w:rsidRDefault="00036B88">
      <w:pPr>
        <w:rPr>
          <w:rFonts w:asciiTheme="minorHAnsi" w:hAnsiTheme="minorHAnsi" w:cstheme="minorHAnsi"/>
          <w:b/>
          <w:color w:val="000000"/>
          <w:sz w:val="22"/>
          <w:szCs w:val="22"/>
        </w:rPr>
      </w:pPr>
      <w:hyperlink r:id="rId23" w:history="1">
        <w:r w:rsidR="00A50CE1" w:rsidRPr="006D1DBA">
          <w:rPr>
            <w:rStyle w:val="Hyperlink"/>
            <w:rFonts w:asciiTheme="minorHAnsi" w:hAnsiTheme="minorHAnsi" w:cstheme="minorHAnsi"/>
            <w:b/>
            <w:sz w:val="22"/>
            <w:szCs w:val="22"/>
          </w:rPr>
          <w:t>AB 2058 (Gabriel)</w:t>
        </w:r>
      </w:hyperlink>
      <w:r w:rsidR="00A50CE1" w:rsidRPr="006D1DBA">
        <w:rPr>
          <w:b/>
          <w:sz w:val="22"/>
          <w:szCs w:val="22"/>
        </w:rPr>
        <w:t>—</w:t>
      </w:r>
      <w:r w:rsidR="00A50CE1" w:rsidRPr="006D1DBA">
        <w:rPr>
          <w:sz w:val="22"/>
          <w:szCs w:val="22"/>
        </w:rPr>
        <w:t xml:space="preserve">would </w:t>
      </w:r>
      <w:r w:rsidR="00A50CE1" w:rsidRPr="006D1DBA">
        <w:rPr>
          <w:rFonts w:asciiTheme="minorHAnsi" w:hAnsiTheme="minorHAnsi" w:cstheme="minorHAnsi"/>
          <w:color w:val="000000"/>
          <w:sz w:val="22"/>
          <w:szCs w:val="22"/>
        </w:rPr>
        <w:t xml:space="preserve">create an affordable housing preservation tax credit, with a $500 million initial allocation, to preserve existing affordable apartments and </w:t>
      </w:r>
      <w:proofErr w:type="spellStart"/>
      <w:r w:rsidR="00A50CE1" w:rsidRPr="006D1DBA">
        <w:rPr>
          <w:rFonts w:asciiTheme="minorHAnsi" w:hAnsiTheme="minorHAnsi" w:cstheme="minorHAnsi"/>
          <w:color w:val="000000"/>
          <w:sz w:val="22"/>
          <w:szCs w:val="22"/>
        </w:rPr>
        <w:t>mobilehome</w:t>
      </w:r>
      <w:proofErr w:type="spellEnd"/>
      <w:r w:rsidR="00A50CE1" w:rsidRPr="006D1DBA">
        <w:rPr>
          <w:rFonts w:asciiTheme="minorHAnsi" w:hAnsiTheme="minorHAnsi" w:cstheme="minorHAnsi"/>
          <w:color w:val="000000"/>
          <w:sz w:val="22"/>
          <w:szCs w:val="22"/>
        </w:rPr>
        <w:t xml:space="preserve"> parks throughout the State.</w:t>
      </w:r>
      <w:r w:rsidR="002C3731" w:rsidRPr="006D1DBA">
        <w:rPr>
          <w:rFonts w:asciiTheme="minorHAnsi" w:hAnsiTheme="minorHAnsi" w:cstheme="minorHAnsi"/>
          <w:color w:val="000000"/>
          <w:sz w:val="22"/>
          <w:szCs w:val="22"/>
        </w:rPr>
        <w:t xml:space="preserve"> </w:t>
      </w:r>
      <w:r w:rsidR="002C3731" w:rsidRPr="006D1DBA">
        <w:rPr>
          <w:rFonts w:asciiTheme="minorHAnsi" w:hAnsiTheme="minorHAnsi" w:cstheme="minorHAnsi"/>
          <w:b/>
          <w:color w:val="000000"/>
          <w:sz w:val="22"/>
          <w:szCs w:val="22"/>
        </w:rPr>
        <w:t>Update: AB 2058 is not moving forward this year.</w:t>
      </w:r>
    </w:p>
    <w:p w14:paraId="09A51B13" w14:textId="260A28D6" w:rsidR="00A50CE1" w:rsidRPr="006D1DBA" w:rsidRDefault="00A50CE1">
      <w:pPr>
        <w:rPr>
          <w:b/>
          <w:sz w:val="22"/>
          <w:szCs w:val="22"/>
        </w:rPr>
      </w:pPr>
    </w:p>
    <w:p w14:paraId="6ECD5E4D" w14:textId="6FAC8119" w:rsidR="00676832" w:rsidRPr="006D1DBA" w:rsidRDefault="00676832">
      <w:pPr>
        <w:rPr>
          <w:rFonts w:asciiTheme="minorHAnsi" w:hAnsiTheme="minorHAnsi" w:cstheme="minorHAnsi"/>
          <w:b/>
          <w:sz w:val="22"/>
          <w:szCs w:val="22"/>
          <w:u w:val="single"/>
        </w:rPr>
      </w:pPr>
      <w:r w:rsidRPr="006D1DBA">
        <w:rPr>
          <w:rFonts w:asciiTheme="minorHAnsi" w:hAnsiTheme="minorHAnsi" w:cstheme="minorHAnsi"/>
          <w:b/>
          <w:sz w:val="22"/>
          <w:szCs w:val="22"/>
          <w:u w:val="single"/>
        </w:rPr>
        <w:t>Protection</w:t>
      </w:r>
    </w:p>
    <w:p w14:paraId="47E19B03" w14:textId="77777777" w:rsidR="00676832" w:rsidRPr="006D1DBA" w:rsidRDefault="00676832">
      <w:pPr>
        <w:rPr>
          <w:rFonts w:asciiTheme="minorHAnsi" w:hAnsiTheme="minorHAnsi" w:cstheme="minorHAnsi"/>
          <w:sz w:val="22"/>
          <w:szCs w:val="22"/>
        </w:rPr>
      </w:pPr>
    </w:p>
    <w:p w14:paraId="04060C4D" w14:textId="5689DA31" w:rsidR="000A6E83" w:rsidRPr="006D1DBA" w:rsidRDefault="00036B88">
      <w:pPr>
        <w:rPr>
          <w:rFonts w:asciiTheme="minorHAnsi" w:hAnsiTheme="minorHAnsi" w:cstheme="minorHAnsi"/>
          <w:color w:val="000000"/>
          <w:sz w:val="22"/>
          <w:szCs w:val="22"/>
        </w:rPr>
      </w:pPr>
      <w:hyperlink r:id="rId24" w:history="1">
        <w:r w:rsidR="000A6E83" w:rsidRPr="006D1DBA">
          <w:rPr>
            <w:rStyle w:val="Hyperlink"/>
            <w:rFonts w:asciiTheme="minorHAnsi" w:hAnsiTheme="minorHAnsi" w:cstheme="minorHAnsi"/>
            <w:b/>
            <w:sz w:val="22"/>
            <w:szCs w:val="22"/>
          </w:rPr>
          <w:t>AB 2272 (Gabriel)</w:t>
        </w:r>
      </w:hyperlink>
      <w:r w:rsidR="000A6E83" w:rsidRPr="006D1DBA">
        <w:rPr>
          <w:b/>
          <w:sz w:val="22"/>
          <w:szCs w:val="22"/>
        </w:rPr>
        <w:t>—</w:t>
      </w:r>
      <w:r w:rsidR="000A6E83" w:rsidRPr="006D1DBA">
        <w:rPr>
          <w:sz w:val="22"/>
          <w:szCs w:val="22"/>
        </w:rPr>
        <w:t>would e</w:t>
      </w:r>
      <w:r w:rsidR="000A6E83" w:rsidRPr="006D1DBA">
        <w:rPr>
          <w:rFonts w:asciiTheme="minorHAnsi" w:hAnsiTheme="minorHAnsi" w:cstheme="minorHAnsi"/>
          <w:color w:val="000000"/>
          <w:sz w:val="22"/>
          <w:szCs w:val="22"/>
        </w:rPr>
        <w:t>stablish the Stable Communities Fund to provide eviction defense as well as short-term rental assistance to tenants with incomes that do not exceed 80% of the Area Median Income (AMI).</w:t>
      </w:r>
      <w:r w:rsidR="002C3731" w:rsidRPr="006D1DBA">
        <w:rPr>
          <w:rFonts w:asciiTheme="minorHAnsi" w:hAnsiTheme="minorHAnsi" w:cstheme="minorHAnsi"/>
          <w:color w:val="000000"/>
          <w:sz w:val="22"/>
          <w:szCs w:val="22"/>
        </w:rPr>
        <w:t xml:space="preserve"> </w:t>
      </w:r>
      <w:r w:rsidR="002C3731" w:rsidRPr="006D1DBA">
        <w:rPr>
          <w:rFonts w:asciiTheme="minorHAnsi" w:hAnsiTheme="minorHAnsi" w:cstheme="minorHAnsi"/>
          <w:b/>
          <w:color w:val="000000"/>
          <w:sz w:val="22"/>
          <w:szCs w:val="22"/>
        </w:rPr>
        <w:t>Update: AB 2272 is not moving forward this year.</w:t>
      </w:r>
    </w:p>
    <w:p w14:paraId="35972DAC" w14:textId="03BFE89E" w:rsidR="00676832" w:rsidRPr="006D1DBA" w:rsidRDefault="00676832">
      <w:pPr>
        <w:rPr>
          <w:rFonts w:asciiTheme="minorHAnsi" w:hAnsiTheme="minorHAnsi" w:cstheme="minorHAnsi"/>
          <w:b/>
          <w:color w:val="000000"/>
          <w:sz w:val="22"/>
          <w:szCs w:val="22"/>
          <w:u w:val="single"/>
        </w:rPr>
      </w:pPr>
    </w:p>
    <w:p w14:paraId="744BB3A9" w14:textId="31BB3064" w:rsidR="00676832" w:rsidRPr="006D1DBA" w:rsidRDefault="00676832">
      <w:pPr>
        <w:rPr>
          <w:rFonts w:asciiTheme="minorHAnsi" w:hAnsiTheme="minorHAnsi" w:cstheme="minorHAnsi"/>
          <w:b/>
          <w:color w:val="000000"/>
          <w:sz w:val="22"/>
          <w:szCs w:val="22"/>
          <w:u w:val="single"/>
        </w:rPr>
      </w:pPr>
      <w:r w:rsidRPr="006D1DBA">
        <w:rPr>
          <w:rFonts w:asciiTheme="minorHAnsi" w:hAnsiTheme="minorHAnsi" w:cstheme="minorHAnsi"/>
          <w:b/>
          <w:color w:val="000000"/>
          <w:sz w:val="22"/>
          <w:szCs w:val="22"/>
          <w:u w:val="single"/>
        </w:rPr>
        <w:t>Homelessness</w:t>
      </w:r>
    </w:p>
    <w:p w14:paraId="753C3FDF" w14:textId="236B3C29" w:rsidR="00676832" w:rsidRPr="006D1DBA" w:rsidRDefault="00676832">
      <w:pPr>
        <w:rPr>
          <w:rFonts w:asciiTheme="minorHAnsi" w:hAnsiTheme="minorHAnsi" w:cstheme="minorHAnsi"/>
          <w:b/>
          <w:color w:val="000000"/>
          <w:sz w:val="22"/>
          <w:szCs w:val="22"/>
          <w:u w:val="single"/>
        </w:rPr>
      </w:pPr>
    </w:p>
    <w:p w14:paraId="2302DB77" w14:textId="66AAAA0E" w:rsidR="002A60D7" w:rsidRPr="006D1DBA" w:rsidRDefault="00036B88" w:rsidP="00AB23EE">
      <w:pPr>
        <w:rPr>
          <w:rFonts w:asciiTheme="minorHAnsi" w:hAnsiTheme="minorHAnsi" w:cstheme="minorHAnsi"/>
          <w:color w:val="000000"/>
          <w:sz w:val="22"/>
          <w:szCs w:val="22"/>
        </w:rPr>
      </w:pPr>
      <w:hyperlink r:id="rId25" w:history="1">
        <w:r w:rsidR="00676832" w:rsidRPr="006D1DBA">
          <w:rPr>
            <w:rStyle w:val="Hyperlink"/>
            <w:rFonts w:asciiTheme="minorHAnsi" w:hAnsiTheme="minorHAnsi" w:cstheme="minorHAnsi"/>
            <w:b/>
            <w:sz w:val="22"/>
            <w:szCs w:val="22"/>
          </w:rPr>
          <w:t>AB 2553 (Ting)</w:t>
        </w:r>
      </w:hyperlink>
      <w:r w:rsidR="00676832" w:rsidRPr="006D1DBA">
        <w:rPr>
          <w:b/>
          <w:sz w:val="22"/>
          <w:szCs w:val="22"/>
        </w:rPr>
        <w:t>--</w:t>
      </w:r>
      <w:r w:rsidR="00676832" w:rsidRPr="006D1DBA">
        <w:rPr>
          <w:sz w:val="22"/>
          <w:szCs w:val="22"/>
        </w:rPr>
        <w:t xml:space="preserve"> </w:t>
      </w:r>
      <w:r w:rsidR="00676832" w:rsidRPr="006D1DBA">
        <w:rPr>
          <w:rFonts w:asciiTheme="minorHAnsi" w:hAnsiTheme="minorHAnsi" w:cstheme="minorHAnsi"/>
          <w:color w:val="000000"/>
          <w:sz w:val="22"/>
          <w:szCs w:val="22"/>
        </w:rPr>
        <w:t>would give all cities and counties in the State the regulatory flexibility to expedite the construction of shelters for individuals experiencing homelessness by waiving or suspending CEQA requirements when a shelter crisis is declared.</w:t>
      </w:r>
    </w:p>
    <w:p w14:paraId="1660533C" w14:textId="77777777" w:rsidR="0008391A" w:rsidRPr="006D1DBA" w:rsidRDefault="0008391A" w:rsidP="0008391A">
      <w:pPr>
        <w:rPr>
          <w:rFonts w:cstheme="minorHAnsi"/>
          <w:sz w:val="22"/>
          <w:szCs w:val="22"/>
        </w:rPr>
      </w:pPr>
    </w:p>
    <w:p w14:paraId="0865E1CB" w14:textId="45DC74BB" w:rsidR="0008391A" w:rsidRPr="006D1DBA" w:rsidRDefault="00036B88" w:rsidP="0008391A">
      <w:pPr>
        <w:rPr>
          <w:rFonts w:asciiTheme="minorHAnsi" w:hAnsiTheme="minorHAnsi" w:cstheme="minorHAnsi"/>
          <w:color w:val="333333"/>
          <w:sz w:val="22"/>
          <w:szCs w:val="22"/>
          <w:shd w:val="clear" w:color="auto" w:fill="FFFFFF"/>
        </w:rPr>
      </w:pPr>
      <w:hyperlink r:id="rId26" w:history="1">
        <w:r w:rsidR="0008391A" w:rsidRPr="006D1DBA">
          <w:rPr>
            <w:rStyle w:val="Hyperlink"/>
            <w:rFonts w:asciiTheme="minorHAnsi" w:hAnsiTheme="minorHAnsi" w:cstheme="minorHAnsi"/>
            <w:b/>
            <w:sz w:val="22"/>
            <w:szCs w:val="22"/>
          </w:rPr>
          <w:t>AB 2988 (Chu)</w:t>
        </w:r>
      </w:hyperlink>
      <w:r w:rsidR="0008391A" w:rsidRPr="006D1DBA">
        <w:rPr>
          <w:rFonts w:cstheme="minorHAnsi"/>
          <w:b/>
          <w:sz w:val="22"/>
          <w:szCs w:val="22"/>
        </w:rPr>
        <w:t>--</w:t>
      </w:r>
      <w:r w:rsidR="0008391A" w:rsidRPr="006D1DBA">
        <w:rPr>
          <w:rFonts w:ascii="Verdana" w:hAnsi="Verdana"/>
          <w:color w:val="333333"/>
          <w:sz w:val="22"/>
          <w:szCs w:val="22"/>
          <w:shd w:val="clear" w:color="auto" w:fill="FFFFFF"/>
        </w:rPr>
        <w:t xml:space="preserve"> </w:t>
      </w:r>
      <w:r w:rsidR="0008391A" w:rsidRPr="006D1DBA">
        <w:rPr>
          <w:rFonts w:asciiTheme="minorHAnsi" w:hAnsiTheme="minorHAnsi" w:cstheme="minorHAnsi"/>
          <w:color w:val="333333"/>
          <w:sz w:val="22"/>
          <w:szCs w:val="22"/>
          <w:shd w:val="clear" w:color="auto" w:fill="FFFFFF"/>
        </w:rPr>
        <w:t>would allow supportive housing by right in zones where emergency shelters are permitted.</w:t>
      </w:r>
      <w:r w:rsidR="002C3731" w:rsidRPr="006D1DBA">
        <w:rPr>
          <w:rFonts w:asciiTheme="minorHAnsi" w:hAnsiTheme="minorHAnsi" w:cstheme="minorHAnsi"/>
          <w:color w:val="333333"/>
          <w:sz w:val="22"/>
          <w:szCs w:val="22"/>
          <w:shd w:val="clear" w:color="auto" w:fill="FFFFFF"/>
        </w:rPr>
        <w:t xml:space="preserve"> </w:t>
      </w:r>
      <w:r w:rsidR="002C3731" w:rsidRPr="006D1DBA">
        <w:rPr>
          <w:rFonts w:asciiTheme="minorHAnsi" w:hAnsiTheme="minorHAnsi" w:cstheme="minorHAnsi"/>
          <w:b/>
          <w:color w:val="000000"/>
          <w:sz w:val="22"/>
          <w:szCs w:val="22"/>
        </w:rPr>
        <w:t>Update: AB 2988 is not moving forward this year.</w:t>
      </w:r>
    </w:p>
    <w:p w14:paraId="0D9F91F4" w14:textId="77777777" w:rsidR="0008391A" w:rsidRPr="006D1DBA" w:rsidRDefault="0008391A" w:rsidP="0008391A">
      <w:pPr>
        <w:rPr>
          <w:sz w:val="22"/>
          <w:szCs w:val="22"/>
        </w:rPr>
      </w:pPr>
    </w:p>
    <w:p w14:paraId="48C71D39" w14:textId="020029F0" w:rsidR="00336501" w:rsidRPr="006D1DBA" w:rsidRDefault="00036B88" w:rsidP="00336501">
      <w:pPr>
        <w:ind w:right="115"/>
        <w:rPr>
          <w:rFonts w:asciiTheme="minorHAnsi" w:hAnsiTheme="minorHAnsi" w:cstheme="minorHAnsi"/>
          <w:b/>
          <w:color w:val="000000"/>
          <w:sz w:val="22"/>
          <w:szCs w:val="22"/>
        </w:rPr>
      </w:pPr>
      <w:hyperlink r:id="rId27" w:history="1">
        <w:r w:rsidR="002A60D7" w:rsidRPr="006D1DBA">
          <w:rPr>
            <w:rStyle w:val="Hyperlink"/>
            <w:rFonts w:asciiTheme="minorHAnsi" w:hAnsiTheme="minorHAnsi" w:cstheme="minorHAnsi"/>
            <w:b/>
            <w:sz w:val="22"/>
            <w:szCs w:val="22"/>
          </w:rPr>
          <w:t>AB 3300 (Santiago</w:t>
        </w:r>
        <w:r w:rsidR="002A60D7" w:rsidRPr="006D1DBA">
          <w:rPr>
            <w:rStyle w:val="Hyperlink"/>
            <w:rFonts w:asciiTheme="minorHAnsi" w:hAnsiTheme="minorHAnsi" w:cstheme="minorHAnsi"/>
            <w:sz w:val="22"/>
            <w:szCs w:val="22"/>
          </w:rPr>
          <w:t>)</w:t>
        </w:r>
      </w:hyperlink>
      <w:r w:rsidR="002A60D7" w:rsidRPr="006D1DBA">
        <w:rPr>
          <w:rFonts w:asciiTheme="minorHAnsi" w:hAnsiTheme="minorHAnsi" w:cstheme="minorHAnsi"/>
          <w:color w:val="000000"/>
          <w:sz w:val="22"/>
          <w:szCs w:val="22"/>
        </w:rPr>
        <w:t>—would appropriate $2 billion in ongoing funding to large cities, counties, homeless Continuum of Care Consortiums, and affordable housing developers to expedite the delivery of homeless housing, rental and housing assistance, and wrap-around services to those in need.</w:t>
      </w:r>
      <w:r w:rsidR="00603510" w:rsidRPr="006D1DBA">
        <w:rPr>
          <w:rFonts w:asciiTheme="minorHAnsi" w:hAnsiTheme="minorHAnsi" w:cstheme="minorHAnsi"/>
          <w:color w:val="000000"/>
          <w:sz w:val="22"/>
          <w:szCs w:val="22"/>
        </w:rPr>
        <w:t xml:space="preserve"> 5/14/20</w:t>
      </w:r>
      <w:r w:rsidR="00603510">
        <w:rPr>
          <w:rFonts w:asciiTheme="minorHAnsi" w:hAnsiTheme="minorHAnsi" w:cstheme="minorHAnsi"/>
          <w:color w:val="000000"/>
        </w:rPr>
        <w:t xml:space="preserve"> </w:t>
      </w:r>
      <w:r w:rsidR="00603510" w:rsidRPr="006D1DBA">
        <w:rPr>
          <w:rFonts w:asciiTheme="minorHAnsi" w:hAnsiTheme="minorHAnsi" w:cstheme="minorHAnsi"/>
          <w:b/>
          <w:color w:val="000000"/>
          <w:sz w:val="22"/>
          <w:szCs w:val="22"/>
        </w:rPr>
        <w:t xml:space="preserve">UPDATE: AB 3300 is unfortunately not moving this year. </w:t>
      </w:r>
    </w:p>
    <w:sectPr w:rsidR="00336501" w:rsidRPr="006D1DBA" w:rsidSect="00F3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82"/>
    <w:rsid w:val="00036B88"/>
    <w:rsid w:val="0008391A"/>
    <w:rsid w:val="000A6E83"/>
    <w:rsid w:val="00114E79"/>
    <w:rsid w:val="001B3E82"/>
    <w:rsid w:val="002A60D7"/>
    <w:rsid w:val="002C3731"/>
    <w:rsid w:val="00336501"/>
    <w:rsid w:val="00397A4F"/>
    <w:rsid w:val="00603510"/>
    <w:rsid w:val="00623AC3"/>
    <w:rsid w:val="00676832"/>
    <w:rsid w:val="006D1DBA"/>
    <w:rsid w:val="00763E5F"/>
    <w:rsid w:val="007A2BEC"/>
    <w:rsid w:val="007F1049"/>
    <w:rsid w:val="009C302F"/>
    <w:rsid w:val="009E5D44"/>
    <w:rsid w:val="00A50CE1"/>
    <w:rsid w:val="00AB23EE"/>
    <w:rsid w:val="00CA61D4"/>
    <w:rsid w:val="00D8720C"/>
    <w:rsid w:val="00E2654F"/>
    <w:rsid w:val="00ED5BA7"/>
    <w:rsid w:val="00F22A03"/>
    <w:rsid w:val="00F34A89"/>
    <w:rsid w:val="00F95FF7"/>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43CE"/>
  <w15:chartTrackingRefBased/>
  <w15:docId w15:val="{25A09D9E-0050-0341-9580-1CA1E0F0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720C"/>
    <w:pPr>
      <w:autoSpaceDE w:val="0"/>
      <w:autoSpaceDN w:val="0"/>
      <w:adjustRightInd w:val="0"/>
      <w:ind w:left="39"/>
    </w:pPr>
    <w:rPr>
      <w:rFonts w:eastAsiaTheme="minorHAnsi"/>
      <w:sz w:val="22"/>
      <w:szCs w:val="22"/>
    </w:rPr>
  </w:style>
  <w:style w:type="character" w:customStyle="1" w:styleId="BodyTextChar">
    <w:name w:val="Body Text Char"/>
    <w:basedOn w:val="DefaultParagraphFont"/>
    <w:link w:val="BodyText"/>
    <w:uiPriority w:val="1"/>
    <w:rsid w:val="00D8720C"/>
    <w:rPr>
      <w:rFonts w:ascii="Times New Roman" w:hAnsi="Times New Roman" w:cs="Times New Roman"/>
      <w:sz w:val="22"/>
      <w:szCs w:val="22"/>
    </w:rPr>
  </w:style>
  <w:style w:type="paragraph" w:customStyle="1" w:styleId="Default">
    <w:name w:val="Default"/>
    <w:rsid w:val="00D8720C"/>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D8720C"/>
  </w:style>
  <w:style w:type="character" w:styleId="CommentReference">
    <w:name w:val="annotation reference"/>
    <w:basedOn w:val="DefaultParagraphFont"/>
    <w:uiPriority w:val="99"/>
    <w:semiHidden/>
    <w:unhideWhenUsed/>
    <w:rsid w:val="009C302F"/>
    <w:rPr>
      <w:sz w:val="16"/>
      <w:szCs w:val="16"/>
    </w:rPr>
  </w:style>
  <w:style w:type="paragraph" w:styleId="CommentText">
    <w:name w:val="annotation text"/>
    <w:basedOn w:val="Normal"/>
    <w:link w:val="CommentTextChar"/>
    <w:uiPriority w:val="99"/>
    <w:semiHidden/>
    <w:unhideWhenUsed/>
    <w:rsid w:val="009C302F"/>
    <w:pPr>
      <w:widowControl w:val="0"/>
      <w:autoSpaceDE w:val="0"/>
      <w:autoSpaceDN w:val="0"/>
    </w:pPr>
    <w:rPr>
      <w:rFonts w:ascii="Myriad Pro" w:eastAsia="Myriad Pro" w:hAnsi="Myriad Pro" w:cs="Myriad Pro"/>
      <w:sz w:val="20"/>
      <w:szCs w:val="20"/>
    </w:rPr>
  </w:style>
  <w:style w:type="character" w:customStyle="1" w:styleId="CommentTextChar">
    <w:name w:val="Comment Text Char"/>
    <w:basedOn w:val="DefaultParagraphFont"/>
    <w:link w:val="CommentText"/>
    <w:uiPriority w:val="99"/>
    <w:semiHidden/>
    <w:rsid w:val="009C302F"/>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9C302F"/>
    <w:rPr>
      <w:b/>
      <w:bCs/>
    </w:rPr>
  </w:style>
  <w:style w:type="character" w:customStyle="1" w:styleId="CommentSubjectChar">
    <w:name w:val="Comment Subject Char"/>
    <w:basedOn w:val="CommentTextChar"/>
    <w:link w:val="CommentSubject"/>
    <w:uiPriority w:val="99"/>
    <w:semiHidden/>
    <w:rsid w:val="009C302F"/>
    <w:rPr>
      <w:rFonts w:ascii="Myriad Pro" w:eastAsia="Myriad Pro" w:hAnsi="Myriad Pro" w:cs="Myriad Pro"/>
      <w:b/>
      <w:bCs/>
      <w:sz w:val="20"/>
      <w:szCs w:val="20"/>
    </w:rPr>
  </w:style>
  <w:style w:type="paragraph" w:styleId="BalloonText">
    <w:name w:val="Balloon Text"/>
    <w:basedOn w:val="Normal"/>
    <w:link w:val="BalloonTextChar"/>
    <w:uiPriority w:val="99"/>
    <w:semiHidden/>
    <w:unhideWhenUsed/>
    <w:rsid w:val="009C302F"/>
    <w:rPr>
      <w:sz w:val="18"/>
      <w:szCs w:val="18"/>
    </w:rPr>
  </w:style>
  <w:style w:type="character" w:customStyle="1" w:styleId="BalloonTextChar">
    <w:name w:val="Balloon Text Char"/>
    <w:basedOn w:val="DefaultParagraphFont"/>
    <w:link w:val="BalloonText"/>
    <w:uiPriority w:val="99"/>
    <w:semiHidden/>
    <w:rsid w:val="009C302F"/>
    <w:rPr>
      <w:rFonts w:ascii="Times New Roman" w:eastAsia="Myriad Pro" w:hAnsi="Times New Roman" w:cs="Myriad Pro"/>
      <w:sz w:val="18"/>
      <w:szCs w:val="18"/>
    </w:rPr>
  </w:style>
  <w:style w:type="character" w:styleId="Hyperlink">
    <w:name w:val="Hyperlink"/>
    <w:basedOn w:val="DefaultParagraphFont"/>
    <w:uiPriority w:val="99"/>
    <w:unhideWhenUsed/>
    <w:rsid w:val="00397A4F"/>
    <w:rPr>
      <w:color w:val="0563C1" w:themeColor="hyperlink"/>
      <w:u w:val="single"/>
    </w:rPr>
  </w:style>
  <w:style w:type="character" w:styleId="FollowedHyperlink">
    <w:name w:val="FollowedHyperlink"/>
    <w:basedOn w:val="DefaultParagraphFont"/>
    <w:uiPriority w:val="99"/>
    <w:semiHidden/>
    <w:unhideWhenUsed/>
    <w:rsid w:val="009E5D44"/>
    <w:rPr>
      <w:color w:val="954F72" w:themeColor="followedHyperlink"/>
      <w:u w:val="single"/>
    </w:rPr>
  </w:style>
  <w:style w:type="character" w:customStyle="1" w:styleId="UnresolvedMention">
    <w:name w:val="Unresolved Mention"/>
    <w:basedOn w:val="DefaultParagraphFont"/>
    <w:uiPriority w:val="99"/>
    <w:semiHidden/>
    <w:unhideWhenUsed/>
    <w:rsid w:val="006D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5526">
      <w:bodyDiv w:val="1"/>
      <w:marLeft w:val="0"/>
      <w:marRight w:val="0"/>
      <w:marTop w:val="0"/>
      <w:marBottom w:val="0"/>
      <w:divBdr>
        <w:top w:val="none" w:sz="0" w:space="0" w:color="auto"/>
        <w:left w:val="none" w:sz="0" w:space="0" w:color="auto"/>
        <w:bottom w:val="none" w:sz="0" w:space="0" w:color="auto"/>
        <w:right w:val="none" w:sz="0" w:space="0" w:color="auto"/>
      </w:divBdr>
    </w:div>
    <w:div w:id="559555744">
      <w:bodyDiv w:val="1"/>
      <w:marLeft w:val="0"/>
      <w:marRight w:val="0"/>
      <w:marTop w:val="0"/>
      <w:marBottom w:val="0"/>
      <w:divBdr>
        <w:top w:val="none" w:sz="0" w:space="0" w:color="auto"/>
        <w:left w:val="none" w:sz="0" w:space="0" w:color="auto"/>
        <w:bottom w:val="none" w:sz="0" w:space="0" w:color="auto"/>
        <w:right w:val="none" w:sz="0" w:space="0" w:color="auto"/>
      </w:divBdr>
    </w:div>
    <w:div w:id="1380208354">
      <w:bodyDiv w:val="1"/>
      <w:marLeft w:val="0"/>
      <w:marRight w:val="0"/>
      <w:marTop w:val="0"/>
      <w:marBottom w:val="0"/>
      <w:divBdr>
        <w:top w:val="none" w:sz="0" w:space="0" w:color="auto"/>
        <w:left w:val="none" w:sz="0" w:space="0" w:color="auto"/>
        <w:bottom w:val="none" w:sz="0" w:space="0" w:color="auto"/>
        <w:right w:val="none" w:sz="0" w:space="0" w:color="auto"/>
      </w:divBdr>
    </w:div>
    <w:div w:id="1653682160">
      <w:bodyDiv w:val="1"/>
      <w:marLeft w:val="0"/>
      <w:marRight w:val="0"/>
      <w:marTop w:val="0"/>
      <w:marBottom w:val="0"/>
      <w:divBdr>
        <w:top w:val="none" w:sz="0" w:space="0" w:color="auto"/>
        <w:left w:val="none" w:sz="0" w:space="0" w:color="auto"/>
        <w:bottom w:val="none" w:sz="0" w:space="0" w:color="auto"/>
        <w:right w:val="none" w:sz="0" w:space="0" w:color="auto"/>
      </w:divBdr>
    </w:div>
    <w:div w:id="17962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920200AB1907" TargetMode="External"/><Relationship Id="rId13" Type="http://schemas.openxmlformats.org/officeDocument/2006/relationships/hyperlink" Target="https://leginfo.legislature.ca.gov/faces/billNavClient.xhtml?bill_id=201920200AB3107" TargetMode="External"/><Relationship Id="rId18" Type="http://schemas.openxmlformats.org/officeDocument/2006/relationships/hyperlink" Target="https://leginfo.legislature.ca.gov/faces/billNavClient.xhtml?bill_id=201920200SB902" TargetMode="External"/><Relationship Id="rId26" Type="http://schemas.openxmlformats.org/officeDocument/2006/relationships/hyperlink" Target="https://leginfo.legislature.ca.gov/faces/billNavClient.xhtml?bill_id=201920200AB2988" TargetMode="External"/><Relationship Id="rId3" Type="http://schemas.openxmlformats.org/officeDocument/2006/relationships/webSettings" Target="webSettings.xml"/><Relationship Id="rId21" Type="http://schemas.openxmlformats.org/officeDocument/2006/relationships/hyperlink" Target="https://leginfo.legislature.ca.gov/faces/billNavClient.xhtml?bill_id=201920200SB1120" TargetMode="External"/><Relationship Id="rId7" Type="http://schemas.openxmlformats.org/officeDocument/2006/relationships/hyperlink" Target="https://leginfo.legislature.ca.gov/faces/billNavClient.xhtml?bill_id=201920200AB1851" TargetMode="External"/><Relationship Id="rId12" Type="http://schemas.openxmlformats.org/officeDocument/2006/relationships/hyperlink" Target="https://leginfo.legislature.ca.gov/faces/billNavClient.xhtml?bill_id=201920200AB3040" TargetMode="External"/><Relationship Id="rId17" Type="http://schemas.openxmlformats.org/officeDocument/2006/relationships/hyperlink" Target="https://leginfo.legislature.ca.gov/faces/billNavClient.xhtml?bill_id=201920200SB899" TargetMode="External"/><Relationship Id="rId25" Type="http://schemas.openxmlformats.org/officeDocument/2006/relationships/hyperlink" Target="https://leginfo.legislature.ca.gov/faces/billNavClient.xhtml?bill_id=201920200AB2553" TargetMode="External"/><Relationship Id="rId2" Type="http://schemas.openxmlformats.org/officeDocument/2006/relationships/settings" Target="settings.xml"/><Relationship Id="rId16" Type="http://schemas.openxmlformats.org/officeDocument/2006/relationships/hyperlink" Target="https://leginfo.legislature.ca.gov/faces/billNavClient.xhtml?bill_id=201920200AB3279" TargetMode="External"/><Relationship Id="rId20" Type="http://schemas.openxmlformats.org/officeDocument/2006/relationships/hyperlink" Target="https://leginfo.legislature.ca.gov/faces/billNavClient.xhtml?bill_id=201920200SB10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nfo.legislature.ca.gov/faces/billTextClient.xhtml?bill_id=201920200AB953" TargetMode="External"/><Relationship Id="rId11" Type="http://schemas.openxmlformats.org/officeDocument/2006/relationships/hyperlink" Target="https://leginfo.legislature.ca.gov/faces/billNavClient.xhtml?bill_id=201920200AB2666" TargetMode="External"/><Relationship Id="rId24" Type="http://schemas.openxmlformats.org/officeDocument/2006/relationships/hyperlink" Target="https://leginfo.legislature.ca.gov/faces/billNavClient.xhtml?bill_id=201920200AB2272" TargetMode="External"/><Relationship Id="rId5" Type="http://schemas.openxmlformats.org/officeDocument/2006/relationships/hyperlink" Target="https://leginfo.legislature.ca.gov/faces/billNavClient.xhtml?bill_id=201920200AB831" TargetMode="External"/><Relationship Id="rId15" Type="http://schemas.openxmlformats.org/officeDocument/2006/relationships/hyperlink" Target="https://leginfo.legislature.ca.gov/faces/billNavClient.xhtml?bill_id=201920200AB3234" TargetMode="External"/><Relationship Id="rId23" Type="http://schemas.openxmlformats.org/officeDocument/2006/relationships/hyperlink" Target="https://leginfo.legislature.ca.gov/faces/billNavClient.xhtml?bill_id=201920200AB2058" TargetMode="External"/><Relationship Id="rId28" Type="http://schemas.openxmlformats.org/officeDocument/2006/relationships/fontTable" Target="fontTable.xml"/><Relationship Id="rId10" Type="http://schemas.openxmlformats.org/officeDocument/2006/relationships/hyperlink" Target="https://leginfo.legislature.ca.gov/faces/billNavClient.xhtml?bill_id=201920200AB2345" TargetMode="External"/><Relationship Id="rId19" Type="http://schemas.openxmlformats.org/officeDocument/2006/relationships/hyperlink" Target="https://leginfo.legislature.ca.gov/faces/billNavClient.xhtml?bill_id=201920200SB995" TargetMode="External"/><Relationship Id="rId4" Type="http://schemas.openxmlformats.org/officeDocument/2006/relationships/hyperlink" Target="https://leginfo.legislature.ca.gov/faces/billNavClient.xhtml?bill_id=201920200AB725" TargetMode="External"/><Relationship Id="rId9" Type="http://schemas.openxmlformats.org/officeDocument/2006/relationships/hyperlink" Target="https://leginfo.legislature.ca.gov/faces/billNavClient.xhtml?bill_id=201920200AB2323" TargetMode="External"/><Relationship Id="rId14" Type="http://schemas.openxmlformats.org/officeDocument/2006/relationships/hyperlink" Target="https://leginfo.legislature.ca.gov/faces/billNavClient.xhtml?bill_id=201920200AB3155" TargetMode="External"/><Relationship Id="rId22" Type="http://schemas.openxmlformats.org/officeDocument/2006/relationships/hyperlink" Target="https://leginfo.legislature.ca.gov/faces/billNavClient.xhtml?bill_id=201920200SB1385" TargetMode="External"/><Relationship Id="rId27" Type="http://schemas.openxmlformats.org/officeDocument/2006/relationships/hyperlink" Target="https://leginfo.legislature.ca.gov/faces/billNavClient.xhtml?bill_id=201920200AB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Meyer</cp:lastModifiedBy>
  <cp:revision>2</cp:revision>
  <dcterms:created xsi:type="dcterms:W3CDTF">2020-07-09T18:43:00Z</dcterms:created>
  <dcterms:modified xsi:type="dcterms:W3CDTF">2020-07-09T18:43:00Z</dcterms:modified>
</cp:coreProperties>
</file>